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Understanding Your Works Management System Data</w:t>
            </w:r>
          </w:p>
          <w:p>
            <w:pPr>
              <w:spacing w:before="0" w:after="320"/>
            </w:pPr>
            <w:r>
              <w:rPr>
                <w:rFonts w:ascii="Arial" w:cs="Arial" w:eastAsia="Arial" w:hAnsi="Arial"/>
                <w:color w:val="FBB024"/>
                <w:sz w:val="27"/>
                <w:szCs w:val="27"/>
              </w:rPr>
              <w:t xml:space="preserve">What the Numbers Are Actually Telling You — and How to Stop Being Managed by Data You Don't Understand</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Planning &amp; Scheduling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Most supervisors and planners have access to more performance data than they know what to do with. Reports run, numbers appear, and decisions get made based on metrics that are imprecise, misunderstood or actively gamed. This playbook is not about software. It is about what good data looks like, how to read your own performance honestly and how to use your system's output to run a better operation.</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The data problem in social housing maintenance</w:t>
      </w:r>
    </w:p>
    <w:p>
      <w:pPr>
        <w:spacing w:before="80" w:after="140"/>
      </w:pPr>
      <w:r>
        <w:rPr>
          <w:rFonts w:ascii="Arial" w:cs="Arial" w:eastAsia="Arial" w:hAnsi="Arial"/>
          <w:color w:val="334155"/>
          <w:sz w:val="24"/>
          <w:szCs w:val="24"/>
        </w:rPr>
        <w:t xml:space="preserve">Works management systems generate enormous volumes of data. Job completion rates, response times, first-time fix rates, operative productivity, SLA compliance — all of it sits in reports that most supervisors open once a month, scan for the numbers their manager will ask about and close again.</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is not the supervisors' fault. The reports are often badly designed, the metrics are sometimes poorly defined and nobody has ever explained what the numbers actually mean or how to use them to make better decisions. The result is an organisation that has invested heavily in data infrastructure and is not using it to improve anything.</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Data is only useful if it changes behaviour</w:t>
            </w:r>
          </w:p>
          <w:p>
            <w:pPr>
              <w:spacing w:before="0" w:after="0"/>
            </w:pPr>
            <w:r>
              <w:rPr>
                <w:rFonts w:ascii="Arial" w:cs="Arial" w:eastAsia="Arial" w:hAnsi="Arial"/>
                <w:color w:val="334155"/>
                <w:sz w:val="24"/>
                <w:szCs w:val="24"/>
              </w:rPr>
              <w:t xml:space="preserve">A performance metric that is tracked but never acted on is not a management tool — it is a compliance exercise. The test for any metric is simple: does knowing this number change what you do? If not, either the metric is wrong or the response to it is missing.</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metrics that matter — and what they actually mean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4238"/>
      </w:tblGrid>
      <w:tr>
        <w:trPr>
          <w:tblHeader/>
        </w:trPr>
        <w:tc>
          <w:tcPr>
            <w:tcW w:type="dxa" w:w="2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Metric</w:t>
            </w:r>
          </w:p>
        </w:tc>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measures</w:t>
            </w:r>
          </w:p>
        </w:tc>
        <w:tc>
          <w:tcPr>
            <w:tcW w:type="dxa" w:w="4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distorts it</w:t>
            </w:r>
          </w:p>
        </w:tc>
      </w:tr>
      <w:tr>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First-time fix rate</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Percentage of jobs completed on the first visit without a callback within a defined period (typically 28 days).</w:t>
            </w:r>
          </w:p>
        </w:tc>
        <w:tc>
          <w:tcPr>
            <w:tcW w:type="dxa" w:w="4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Operatives closing jobs as complete when they are not. Short callback windows that miss recalls. Recalls raised under different job numbers.</w:t>
            </w:r>
          </w:p>
        </w:tc>
      </w:tr>
      <w:tr>
        <w:tc>
          <w:tcPr>
            <w:tcW w:type="dxa" w:w="2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SLA compliance</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Percentage of jobs completed within the contracted response time for each priority category.</w:t>
            </w:r>
          </w:p>
        </w:tc>
        <w:tc>
          <w:tcPr>
            <w:tcW w:type="dxa" w:w="4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Jobs reclassified to a lower priority after booking to make the SLA achievable. Jobs closed on the system before physically complete.</w:t>
            </w:r>
          </w:p>
        </w:tc>
      </w:tr>
      <w:tr>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Abortive visit rate</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Percentage of attended jobs where no work was completed.</w:t>
            </w:r>
          </w:p>
        </w:tc>
        <w:tc>
          <w:tcPr>
            <w:tcW w:type="dxa" w:w="4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Reason codes used inaccurately. Genuine no-access mixed with operative-behaviour failures in the same category.</w:t>
            </w:r>
          </w:p>
        </w:tc>
      </w:tr>
      <w:tr>
        <w:tc>
          <w:tcPr>
            <w:tcW w:type="dxa" w:w="2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productivity</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Jobs completed per operative per day, often expressed as a ratio or compared to a target.</w:t>
            </w:r>
          </w:p>
        </w:tc>
        <w:tc>
          <w:tcPr>
            <w:tcW w:type="dxa" w:w="4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 complexity varies enormously. A plumber replacing a washer and a plumber carrying out a complex unvented cylinder repair are not the same unit of productivity.</w:t>
            </w:r>
          </w:p>
        </w:tc>
      </w:tr>
      <w:tr>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Tenant satisfaction (TSMs)</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Percentage of tenants who are satisfied with the repair.</w:t>
            </w:r>
          </w:p>
        </w:tc>
        <w:tc>
          <w:tcPr>
            <w:tcW w:type="dxa" w:w="4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Survey timing, response rates and sampling methodology all affect the figure. Low response rates make the data unreliable.</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Reading your data honestly</w:t>
      </w:r>
    </w:p>
    <w:p>
      <w:pPr>
        <w:pStyle w:val="Heading2"/>
        <w:spacing w:before="280" w:after="120"/>
      </w:pPr>
      <w:r>
        <w:rPr>
          <w:rFonts w:ascii="Arial" w:cs="Arial" w:eastAsia="Arial" w:hAnsi="Arial"/>
          <w:b/>
          <w:bCs/>
          <w:color w:val="0E7490"/>
          <w:sz w:val="28"/>
          <w:szCs w:val="28"/>
        </w:rPr>
        <w:t xml:space="preserve">3.1  First-time fix rate</w:t>
      </w:r>
    </w:p>
    <w:p>
      <w:pPr>
        <w:spacing w:before="80" w:after="140"/>
      </w:pPr>
      <w:r>
        <w:rPr>
          <w:rFonts w:ascii="Arial" w:cs="Arial" w:eastAsia="Arial" w:hAnsi="Arial"/>
          <w:color w:val="334155"/>
          <w:sz w:val="24"/>
          <w:szCs w:val="24"/>
        </w:rPr>
        <w:t xml:space="preserve">The first-time fix rate is one of the most important indicators in responsive maintenance — and one of the most commonly gamed. Before trusting your first-time fix rate, ask:</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What is the callback window? A 7-day window misses many recalls that arrive in week two or three. A 28-day window is more reliable.</w:t>
      </w:r>
    </w:p>
    <w:p>
      <w:pPr>
        <w:pStyle w:val="ListParagraph"/>
        <w:numPr>
          <w:ilvl w:val="0"/>
          <w:numId w:val="2"/>
        </w:numPr>
        <w:spacing w:before="60" w:after="80"/>
      </w:pPr>
      <w:r>
        <w:rPr>
          <w:rFonts w:ascii="Arial" w:cs="Arial" w:eastAsia="Arial" w:hAnsi="Arial"/>
          <w:color w:val="334155"/>
          <w:sz w:val="24"/>
          <w:szCs w:val="24"/>
        </w:rPr>
        <w:t xml:space="preserve">Are recalls being raised under the same job number? If a callback generates a new job number, it will not appear as a recall against the original job.</w:t>
      </w:r>
    </w:p>
    <w:p>
      <w:pPr>
        <w:pStyle w:val="ListParagraph"/>
        <w:numPr>
          <w:ilvl w:val="0"/>
          <w:numId w:val="2"/>
        </w:numPr>
        <w:spacing w:before="60" w:after="80"/>
      </w:pPr>
      <w:r>
        <w:rPr>
          <w:rFonts w:ascii="Arial" w:cs="Arial" w:eastAsia="Arial" w:hAnsi="Arial"/>
          <w:color w:val="334155"/>
          <w:sz w:val="24"/>
          <w:szCs w:val="24"/>
        </w:rPr>
        <w:t xml:space="preserve">Are jobs being closed as complete on the system before the operative has actually finished? This is common where operatives close jobs from their van before the tenant has confirmed completion.</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2E8F0" w:sz="1"/>
              <w:left w:val="single" w:color="E2E8F0" w:sz="1"/>
              <w:bottom w:val="single" w:color="E2E8F0" w:sz="1"/>
              <w:right w:val="single" w:color="E2E8F0" w:sz="1"/>
            </w:tcBorders>
            <w:shd w:fill="ECFDF5" w:val="clear"/>
            <w:tcMar>
              <w:top w:type="dxa" w:w="140"/>
              <w:left w:type="dxa" w:w="180"/>
              <w:bottom w:type="dxa" w:w="140"/>
              <w:right w:type="dxa" w:w="180"/>
            </w:tcMar>
          </w:tcPr>
          <w:p>
            <w:pPr>
              <w:spacing w:before="0" w:after="60"/>
            </w:pPr>
            <w:r>
              <w:rPr>
                <w:rFonts w:ascii="Arial" w:cs="Arial" w:eastAsia="Arial" w:hAnsi="Arial"/>
                <w:b/>
                <w:bCs/>
                <w:color w:val="065F46"/>
                <w:sz w:val="21"/>
                <w:szCs w:val="21"/>
              </w:rPr>
              <w:t xml:space="preserve">⚙ If you use dynamic scheduling</w:t>
            </w:r>
          </w:p>
          <w:p>
            <w:pPr>
              <w:spacing w:before="0" w:after="0"/>
            </w:pPr>
            <w:r>
              <w:rPr>
                <w:rFonts w:ascii="Arial" w:cs="Arial" w:eastAsia="Arial" w:hAnsi="Arial"/>
                <w:color w:val="334155"/>
                <w:sz w:val="21"/>
                <w:szCs w:val="21"/>
              </w:rPr>
              <w:t xml:space="preserve">Dynamic scheduling systems often track job closure automatically via operative mobile devices. The risk of premature closure is lower but not eliminated — operatives can mark jobs complete remotely before leaving the property.</w:t>
            </w:r>
          </w:p>
        </w:tc>
        <w:tc>
          <w:tcPr>
            <w:tcW w:type="dxa" w:w="4819"/>
            <w:tcBorders>
              <w:top w:val="single" w:color="E2E8F0" w:sz="1"/>
              <w:left w:val="single" w:color="E2E8F0" w:sz="1"/>
              <w:bottom w:val="single" w:color="E2E8F0" w:sz="1"/>
              <w:right w:val="single" w:color="E2E8F0" w:sz="1"/>
            </w:tcBorders>
            <w:shd w:fill="FFFBEB" w:val="clear"/>
            <w:tcMar>
              <w:top w:type="dxa" w:w="140"/>
              <w:left w:type="dxa" w:w="180"/>
              <w:bottom w:type="dxa" w:w="140"/>
              <w:right w:type="dxa" w:w="180"/>
            </w:tcMar>
          </w:tcPr>
          <w:p>
            <w:pPr>
              <w:spacing w:before="0" w:after="60"/>
            </w:pPr>
            <w:r>
              <w:rPr>
                <w:rFonts w:ascii="Arial" w:cs="Arial" w:eastAsia="Arial" w:hAnsi="Arial"/>
                <w:b/>
                <w:bCs/>
                <w:color w:val="B45309"/>
                <w:sz w:val="21"/>
                <w:szCs w:val="21"/>
              </w:rPr>
              <w:t xml:space="preserve">✏ If you schedule manually</w:t>
            </w:r>
          </w:p>
          <w:p>
            <w:pPr>
              <w:spacing w:before="0" w:after="0"/>
            </w:pPr>
            <w:r>
              <w:rPr>
                <w:rFonts w:ascii="Arial" w:cs="Arial" w:eastAsia="Arial" w:hAnsi="Arial"/>
                <w:color w:val="334155"/>
                <w:sz w:val="21"/>
                <w:szCs w:val="21"/>
              </w:rPr>
              <w:t xml:space="preserve">Manual systems are more vulnerable to premature closure because job completion is self-reported. A spot check programme on job closures — calling a sample of tenants after jobs are marked complete — is a useful quality control.</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SLA compliance</w:t>
      </w:r>
    </w:p>
    <w:p>
      <w:pPr>
        <w:spacing w:before="80" w:after="140"/>
      </w:pPr>
      <w:r>
        <w:rPr>
          <w:rFonts w:ascii="Arial" w:cs="Arial" w:eastAsia="Arial" w:hAnsi="Arial"/>
          <w:color w:val="334155"/>
          <w:sz w:val="24"/>
          <w:szCs w:val="24"/>
        </w:rPr>
        <w:t xml:space="preserve">An SLA compliance figure of 97% sounds excellent. But if jobs are routinely reclassified from urgent to routine after booking to make the SLA achievable, the 97% is meaningless. Always cross-check SLA compliance against priority classification patterns.</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Are a disproportionate number of jobs being downgraded after the initial booking? A pattern of upgrades at booking followed by downgrades within the first hour is a classification gaming indicator.</w:t>
      </w:r>
    </w:p>
    <w:p>
      <w:pPr>
        <w:pStyle w:val="ListParagraph"/>
        <w:numPr>
          <w:ilvl w:val="0"/>
          <w:numId w:val="2"/>
        </w:numPr>
        <w:spacing w:before="60" w:after="80"/>
      </w:pPr>
      <w:r>
        <w:rPr>
          <w:rFonts w:ascii="Arial" w:cs="Arial" w:eastAsia="Arial" w:hAnsi="Arial"/>
          <w:color w:val="334155"/>
          <w:sz w:val="24"/>
          <w:szCs w:val="24"/>
        </w:rPr>
        <w:t xml:space="preserve">Are specific job types consistently near the SLA boundary? A job type that is always completed at 95-99% of its SLA window is being managed to the SLA, not to the tenant's need.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3.3  Operative productivity</w:t>
      </w:r>
    </w:p>
    <w:p>
      <w:pPr>
        <w:spacing w:before="80" w:after="140"/>
      </w:pPr>
      <w:r>
        <w:rPr>
          <w:rFonts w:ascii="Arial" w:cs="Arial" w:eastAsia="Arial" w:hAnsi="Arial"/>
          <w:color w:val="334155"/>
          <w:sz w:val="24"/>
          <w:szCs w:val="24"/>
        </w:rPr>
        <w:t xml:space="preserve">Productivity ratios are useful for identifying outliers — operatives who are significantly above or below the team average — but they are not a substitute for knowing what is actually happening on the ground. An operative with a low productivity ratio may be doing complex jobs. An operative with a high productivity ratio may be cutting corners.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Always look at productivity alongside quality indicators — callback rate, post-completion inspection grades, tenant satisfaction scores. The operative who completes twelve jobs a day and generates four callbacks is not more productive than the operative who completes eight jobs and generates none.</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Data quality — the foundation everything else rests on</w:t>
      </w:r>
    </w:p>
    <w:p>
      <w:pPr>
        <w:spacing w:before="80" w:after="140"/>
      </w:pPr>
      <w:r>
        <w:rPr>
          <w:rFonts w:ascii="Arial" w:cs="Arial" w:eastAsia="Arial" w:hAnsi="Arial"/>
          <w:color w:val="334155"/>
          <w:sz w:val="24"/>
          <w:szCs w:val="24"/>
        </w:rPr>
        <w:t xml:space="preserve">The reliability of every metric in your works management system depends on the quality of the data going into it. Poor job notes, inaccurate reason codes, premature job closures and misclassified priorities all corrupt the data and make the metrics meaningless.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supervisor's role in data quality is direct and unavoidable. The team produces the data. The supervisor sets and enforces the standard for how the system is used. A supervisor who tolerates poor job notes, lets reason codes slide and does not challenge premature closures is managing an operation they cannot actually see.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four data quality levers</w:t>
      </w:r>
    </w:p>
    <w:p>
      <w:pPr>
        <w:pStyle w:val="ListParagraph"/>
        <w:numPr>
          <w:ilvl w:val="0"/>
          <w:numId w:val="3"/>
        </w:numPr>
        <w:spacing w:before="60" w:after="100"/>
      </w:pPr>
      <w:r>
        <w:rPr>
          <w:rFonts w:ascii="Arial" w:cs="Arial" w:eastAsia="Arial" w:hAnsi="Arial"/>
          <w:color w:val="334155"/>
          <w:sz w:val="24"/>
          <w:szCs w:val="24"/>
        </w:rPr>
        <w:t xml:space="preserve">Job note quality — covered in the Writing a Meaningful Job Note playbook. The job note is the primary data input for every downstream metric.</w:t>
      </w:r>
    </w:p>
    <w:p>
      <w:pPr>
        <w:pStyle w:val="ListParagraph"/>
        <w:numPr>
          <w:ilvl w:val="0"/>
          <w:numId w:val="3"/>
        </w:numPr>
        <w:spacing w:before="60" w:after="100"/>
      </w:pPr>
      <w:r>
        <w:rPr>
          <w:rFonts w:ascii="Arial" w:cs="Arial" w:eastAsia="Arial" w:hAnsi="Arial"/>
          <w:color w:val="334155"/>
          <w:sz w:val="24"/>
          <w:szCs w:val="24"/>
        </w:rPr>
        <w:t xml:space="preserve">Reason code accuracy — run a monthly audit of a sample of reason codes against what actually happened. The gap between the code used and the reality is your data quality gap.</w:t>
      </w:r>
    </w:p>
    <w:p>
      <w:pPr>
        <w:pStyle w:val="ListParagraph"/>
        <w:numPr>
          <w:ilvl w:val="0"/>
          <w:numId w:val="3"/>
        </w:numPr>
        <w:spacing w:before="60" w:after="100"/>
      </w:pPr>
      <w:r>
        <w:rPr>
          <w:rFonts w:ascii="Arial" w:cs="Arial" w:eastAsia="Arial" w:hAnsi="Arial"/>
          <w:color w:val="334155"/>
          <w:sz w:val="24"/>
          <w:szCs w:val="24"/>
        </w:rPr>
        <w:t xml:space="preserve">Priority classification consistency — who classifies priority, on what basis, and is that classification ever reviewed? A clear priority definition that everyone applies consistently is the foundation of SLA data.</w:t>
      </w:r>
    </w:p>
    <w:p>
      <w:pPr>
        <w:pStyle w:val="ListParagraph"/>
        <w:numPr>
          <w:ilvl w:val="0"/>
          <w:numId w:val="3"/>
        </w:numPr>
        <w:spacing w:before="60" w:after="100"/>
      </w:pPr>
      <w:r>
        <w:rPr>
          <w:rFonts w:ascii="Arial" w:cs="Arial" w:eastAsia="Arial" w:hAnsi="Arial"/>
          <w:color w:val="334155"/>
          <w:sz w:val="24"/>
          <w:szCs w:val="24"/>
        </w:rPr>
        <w:t xml:space="preserve">Job closure discipline — jobs are closed when they are physically complete and the tenant has confirmed it, not when the operative is driving away. Make this a non-negotiable standard.</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Using data to have better conversations</w:t>
      </w:r>
    </w:p>
    <w:p>
      <w:pPr>
        <w:spacing w:before="80" w:after="140"/>
      </w:pPr>
      <w:r>
        <w:rPr>
          <w:rFonts w:ascii="Arial" w:cs="Arial" w:eastAsia="Arial" w:hAnsi="Arial"/>
          <w:color w:val="334155"/>
          <w:sz w:val="24"/>
          <w:szCs w:val="24"/>
        </w:rPr>
        <w:t xml:space="preserve">The most valuable use of performance data is not the monthly report — it is the specific conversation it enables. A supervisor who can say "your first-time fix rate has dropped from 84% to 71% over the last six weeks — let's look at what's changed" is having a much more productive conversation than one who says "your performance hasn't been great lately."</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Use data in one-to-ones — not as a stick but as a starting point for understanding. "This is what the numbers show. What's your experience of it?"</w:t>
      </w:r>
    </w:p>
    <w:p>
      <w:pPr>
        <w:pStyle w:val="ListParagraph"/>
        <w:numPr>
          <w:ilvl w:val="0"/>
          <w:numId w:val="2"/>
        </w:numPr>
        <w:spacing w:before="60" w:after="80"/>
      </w:pPr>
      <w:r>
        <w:rPr>
          <w:rFonts w:ascii="Arial" w:cs="Arial" w:eastAsia="Arial" w:hAnsi="Arial"/>
          <w:color w:val="334155"/>
          <w:sz w:val="24"/>
          <w:szCs w:val="24"/>
        </w:rPr>
        <w:t xml:space="preserve">Use data to challenge planning decisions — "these three job types generate our highest callback rate. Should we be allocating them differently?"</w:t>
      </w:r>
    </w:p>
    <w:p>
      <w:pPr>
        <w:pStyle w:val="ListParagraph"/>
        <w:numPr>
          <w:ilvl w:val="0"/>
          <w:numId w:val="2"/>
        </w:numPr>
        <w:spacing w:before="60" w:after="80"/>
      </w:pPr>
      <w:r>
        <w:rPr>
          <w:rFonts w:ascii="Arial" w:cs="Arial" w:eastAsia="Arial" w:hAnsi="Arial"/>
          <w:color w:val="334155"/>
          <w:sz w:val="24"/>
          <w:szCs w:val="24"/>
        </w:rPr>
        <w:t xml:space="preserve">Use data to identify systemic problems — a callback cluster in a specific block or estate is an asset management problem, not a maintenance performance problem.</w:t>
      </w:r>
    </w:p>
    <w:p>
      <w:pPr>
        <w:pStyle w:val="ListParagraph"/>
        <w:numPr>
          <w:ilvl w:val="0"/>
          <w:numId w:val="2"/>
        </w:numPr>
        <w:spacing w:before="60" w:after="80"/>
      </w:pPr>
      <w:r>
        <w:rPr>
          <w:rFonts w:ascii="Arial" w:cs="Arial" w:eastAsia="Arial" w:hAnsi="Arial"/>
          <w:color w:val="334155"/>
          <w:sz w:val="24"/>
          <w:szCs w:val="24"/>
        </w:rPr>
        <w:t xml:space="preserve">Use data to recognise good performance — "your first-time fix rate has been above 90% for three months. That's worth acknowledging."</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The five key metrics and their distortions</w:t>
      </w:r>
    </w:p>
    <w:p>
      <w:pPr>
        <w:pStyle w:val="ListParagraph"/>
        <w:numPr>
          <w:ilvl w:val="0"/>
          <w:numId w:val="2"/>
        </w:numPr>
        <w:spacing w:before="60" w:after="80"/>
      </w:pPr>
      <w:r>
        <w:rPr>
          <w:rFonts w:ascii="Arial" w:cs="Arial" w:eastAsia="Arial" w:hAnsi="Arial"/>
          <w:color w:val="334155"/>
          <w:sz w:val="24"/>
          <w:szCs w:val="24"/>
        </w:rPr>
        <w:t xml:space="preserve">First-time fix: check callback window length and whether recalls are raised under new job numbers</w:t>
      </w:r>
    </w:p>
    <w:p>
      <w:pPr>
        <w:pStyle w:val="ListParagraph"/>
        <w:numPr>
          <w:ilvl w:val="0"/>
          <w:numId w:val="2"/>
        </w:numPr>
        <w:spacing w:before="60" w:after="80"/>
      </w:pPr>
      <w:r>
        <w:rPr>
          <w:rFonts w:ascii="Arial" w:cs="Arial" w:eastAsia="Arial" w:hAnsi="Arial"/>
          <w:color w:val="334155"/>
          <w:sz w:val="24"/>
          <w:szCs w:val="24"/>
        </w:rPr>
        <w:t xml:space="preserve">SLA compliance: cross-check against priority reclassification patterns</w:t>
      </w:r>
    </w:p>
    <w:p>
      <w:pPr>
        <w:pStyle w:val="ListParagraph"/>
        <w:numPr>
          <w:ilvl w:val="0"/>
          <w:numId w:val="2"/>
        </w:numPr>
        <w:spacing w:before="60" w:after="80"/>
      </w:pPr>
      <w:r>
        <w:rPr>
          <w:rFonts w:ascii="Arial" w:cs="Arial" w:eastAsia="Arial" w:hAnsi="Arial"/>
          <w:color w:val="334155"/>
          <w:sz w:val="24"/>
          <w:szCs w:val="24"/>
        </w:rPr>
        <w:t xml:space="preserve">Abortive rate: audit reason code accuracy monthly</w:t>
      </w:r>
    </w:p>
    <w:p>
      <w:pPr>
        <w:pStyle w:val="ListParagraph"/>
        <w:numPr>
          <w:ilvl w:val="0"/>
          <w:numId w:val="2"/>
        </w:numPr>
        <w:spacing w:before="60" w:after="80"/>
      </w:pPr>
      <w:r>
        <w:rPr>
          <w:rFonts w:ascii="Arial" w:cs="Arial" w:eastAsia="Arial" w:hAnsi="Arial"/>
          <w:color w:val="334155"/>
          <w:sz w:val="24"/>
          <w:szCs w:val="24"/>
        </w:rPr>
        <w:t xml:space="preserve">Productivity: always read alongside quality indicators, not in isolation</w:t>
      </w:r>
    </w:p>
    <w:p>
      <w:pPr>
        <w:pStyle w:val="ListParagraph"/>
        <w:numPr>
          <w:ilvl w:val="0"/>
          <w:numId w:val="2"/>
        </w:numPr>
        <w:spacing w:before="60" w:after="80"/>
      </w:pPr>
      <w:r>
        <w:rPr>
          <w:rFonts w:ascii="Arial" w:cs="Arial" w:eastAsia="Arial" w:hAnsi="Arial"/>
          <w:color w:val="334155"/>
          <w:sz w:val="24"/>
          <w:szCs w:val="24"/>
        </w:rPr>
        <w:t xml:space="preserve">Tenant satisfaction: check response rates — low response rates make the data unreliable</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four data quality levers</w:t>
      </w:r>
    </w:p>
    <w:p>
      <w:pPr>
        <w:pStyle w:val="ListParagraph"/>
        <w:numPr>
          <w:ilvl w:val="0"/>
          <w:numId w:val="2"/>
        </w:numPr>
        <w:spacing w:before="60" w:after="80"/>
      </w:pPr>
      <w:r>
        <w:rPr>
          <w:rFonts w:ascii="Arial" w:cs="Arial" w:eastAsia="Arial" w:hAnsi="Arial"/>
          <w:color w:val="334155"/>
          <w:sz w:val="24"/>
          <w:szCs w:val="24"/>
        </w:rPr>
        <w:t xml:space="preserve">Job note quality · Reason code accuracy · Priority classification consistency · Job closure discipline</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An organisation that measures everything and understands nothing is not data-driven — it is data-decorated. Understanding what your metrics actually mean, what corrupts them and how to use them to have better conversations is the difference between running an operation and being run by it.</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Planning &amp; Scheduling Series  ·  Understanding Your Works Management System Data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2026-03-23T17:29:45.610Z</dcterms:created>
  <dcterms:modified xsi:type="dcterms:W3CDTF">2026-03-23T17:29:45.610Z</dcterms:modified>
</cp:coreProperties>
</file>

<file path=docProps/custom.xml><?xml version="1.0" encoding="utf-8"?>
<Properties xmlns="http://schemas.openxmlformats.org/officeDocument/2006/custom-properties" xmlns:vt="http://schemas.openxmlformats.org/officeDocument/2006/docPropsVTypes"/>
</file>