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0A0F1E" w:val="clear"/>
            <w:tcMar>
              <w:top w:type="dxa" w:w="560"/>
              <w:left w:type="dxa" w:w="480"/>
              <w:bottom w:type="dxa" w:w="560"/>
              <w:right w:type="dxa" w:w="480"/>
            </w:tcMar>
            <w:vAlign w:val="center"/>
          </w:tcPr>
          <w:p>
            <w:pPr>
              <w:spacing w:before="0" w:after="40"/>
            </w:pPr>
            <w:r>
              <w:rPr>
                <w:rFonts w:ascii="Arial" w:cs="Arial" w:eastAsia="Arial" w:hAnsi="Arial"/>
                <w:b/>
                <w:bCs/>
                <w:color w:val="FFFFFF"/>
                <w:sz w:val="28"/>
                <w:szCs w:val="28"/>
              </w:rPr>
              <w:t xml:space="preserve">socialhousing</w:t>
            </w:r>
            <w:r>
              <w:rPr>
                <w:rFonts w:ascii="Arial" w:cs="Arial" w:eastAsia="Arial" w:hAnsi="Arial"/>
                <w:b/>
                <w:bCs/>
                <w:color w:val="22D3EE"/>
                <w:sz w:val="28"/>
                <w:szCs w:val="28"/>
              </w:rPr>
              <w:t xml:space="preserve">.ai</w:t>
            </w:r>
          </w:p>
          <w:p>
            <w:pPr>
              <w:spacing w:before="0" w:after="280"/>
            </w:pPr>
            <w:r>
              <w:rPr>
                <w:rFonts w:ascii="Arial" w:cs="Arial" w:eastAsia="Arial" w:hAnsi="Arial"/>
                <w:b/>
                <w:bCs/>
                <w:caps/>
                <w:color w:val="64748B"/>
                <w:sz w:val="18"/>
                <w:szCs w:val="18"/>
              </w:rPr>
              <w:t xml:space="preserve">SUPERVISOR PLAYBOOK SERIES</w:t>
            </w:r>
          </w:p>
          <w:p>
            <w:pPr>
              <w:pBdr>
                <w:bottom w:val="single" w:color="0891B2" w:sz="6" w:space="0"/>
              </w:pBdr>
              <w:spacing w:before="0" w:after="240"/>
            </w:pPr>
            <w:r>
              <w:rPr>
                <w:rFonts w:ascii="Arial" w:cs="Arial" w:eastAsia="Arial" w:hAnsi="Arial"/>
                <w:color w:val="334155"/>
                <w:sz w:val="24"/>
                <w:szCs w:val="24"/>
              </w:rPr>
              <w:t xml:space="preserve"/>
            </w:r>
          </w:p>
          <w:p>
            <w:pPr>
              <w:spacing w:before="240" w:after="80"/>
            </w:pPr>
            <w:r>
              <w:rPr>
                <w:rFonts w:ascii="Arial" w:cs="Arial" w:eastAsia="Arial" w:hAnsi="Arial"/>
                <w:b/>
                <w:bCs/>
                <w:color w:val="FFFFFF"/>
                <w:sz w:val="54"/>
                <w:szCs w:val="54"/>
              </w:rPr>
              <w:t xml:space="preserve">Void Management — Getting Properties Back Fast</w:t>
            </w:r>
          </w:p>
          <w:p>
            <w:pPr>
              <w:spacing w:before="0" w:after="320"/>
            </w:pPr>
            <w:r>
              <w:rPr>
                <w:rFonts w:ascii="Arial" w:cs="Arial" w:eastAsia="Arial" w:hAnsi="Arial"/>
                <w:color w:val="FBB024"/>
                <w:sz w:val="27"/>
                <w:szCs w:val="27"/>
              </w:rPr>
              <w:t xml:space="preserve">Trade Sequencing, Key Decision Points, TSM Implications and How to Stop Voids Becoming a Sinkhole</w:t>
            </w:r>
          </w:p>
          <w:p>
            <w:pPr>
              <w:pBdr>
                <w:bottom w:val="single" w:color="1E3A5F" w:sz="2" w:space="0"/>
              </w:pBdr>
              <w:spacing w:before="0" w:after="240"/>
            </w:pPr>
            <w:r>
              <w:rPr>
                <w:rFonts w:ascii="Arial" w:cs="Arial" w:eastAsia="Arial" w:hAnsi="Arial"/>
                <w:color w:val="334155"/>
                <w:sz w:val="24"/>
                <w:szCs w:val="24"/>
              </w:rPr>
              <w:t xml:space="preserve"/>
            </w:r>
          </w:p>
          <w:p>
            <w:pPr>
              <w:spacing w:before="240" w:after="80"/>
            </w:pPr>
            <w:r>
              <w:rPr>
                <w:rFonts w:ascii="Arial" w:cs="Arial" w:eastAsia="Arial" w:hAnsi="Arial"/>
                <w:color w:val="94A3B8"/>
                <w:sz w:val="24"/>
                <w:szCs w:val="24"/>
              </w:rPr>
              <w:t xml:space="preserve">Planning &amp; Scheduling Series · socialhousing.ai</w:t>
            </w:r>
          </w:p>
          <w:p>
            <w:pPr>
              <w:spacing w:before="0" w:after="480"/>
            </w:pPr>
            <w:r>
              <w:rPr>
                <w:rFonts w:ascii="Arial" w:cs="Arial" w:eastAsia="Arial" w:hAnsi="Arial"/>
                <w:color w:val="475569"/>
                <w:sz w:val="22"/>
                <w:szCs w:val="22"/>
              </w:rPr>
              <w:t xml:space="preserve">March 2026  ·  Free to use and share  ·  socialhousing.ai</w:t>
            </w:r>
          </w:p>
          <w:p>
            <w:pPr>
              <w:pBdr>
                <w:bottom w:val="single" w:color="0891B2" w:sz="6" w:space="0"/>
              </w:pBdr>
              <w:spacing w:before="0" w:after="200"/>
            </w:pPr>
            <w:r>
              <w:rPr>
                <w:rFonts w:ascii="Arial" w:cs="Arial" w:eastAsia="Arial" w:hAnsi="Arial"/>
                <w:color w:val="334155"/>
                <w:sz w:val="24"/>
                <w:szCs w:val="24"/>
              </w:rPr>
              <w:t xml:space="preserve"/>
            </w:r>
          </w:p>
          <w:p>
            <w:pPr>
              <w:spacing w:before="200" w:after="60"/>
            </w:pPr>
            <w:r>
              <w:rPr>
                <w:rFonts w:ascii="Arial" w:cs="Arial" w:eastAsia="Arial" w:hAnsi="Arial"/>
                <w:b/>
                <w:bCs/>
                <w:color w:val="FBB024"/>
                <w:sz w:val="22"/>
                <w:szCs w:val="22"/>
              </w:rPr>
              <w:t xml:space="preserve">About this playbook</w:t>
            </w:r>
          </w:p>
          <w:p>
            <w:pPr>
              <w:spacing w:before="0" w:after="80"/>
            </w:pPr>
            <w:r>
              <w:rPr>
                <w:rFonts w:ascii="Arial" w:cs="Arial" w:eastAsia="Arial" w:hAnsi="Arial"/>
                <w:color w:val="94A3B8"/>
                <w:sz w:val="22"/>
                <w:szCs w:val="22"/>
              </w:rPr>
              <w:t xml:space="preserve">Void properties cost money every day they are empty. The pressure to turn them around quickly is constant — but speed without process creates defective re-lets, tenant complaints and recalls. This playbook gives supervisors and planners the framework for managing voids efficiently without compromising quality.</w:t>
            </w:r>
          </w:p>
          <w:p>
            <w:pPr>
              <w:spacing w:before="0" w:after="0"/>
            </w:pPr>
            <w:r>
              <w:rPr>
                <w:rFonts w:ascii="Arial" w:cs="Arial" w:eastAsia="Arial" w:hAnsi="Arial"/>
                <w:color w:val="64748B"/>
                <w:sz w:val="22"/>
                <w:szCs w:val="22"/>
              </w:rPr>
              <w:t xml:space="preserve">Free to use, free to share, free to adapt. No login required.</w:t>
            </w:r>
          </w:p>
        </w:tc>
      </w:tr>
    </w:tbl>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1. Why void management is different from responsive repairs</w:t>
      </w:r>
    </w:p>
    <w:p>
      <w:pPr>
        <w:spacing w:before="80" w:after="140"/>
      </w:pPr>
      <w:r>
        <w:rPr>
          <w:rFonts w:ascii="Arial" w:cs="Arial" w:eastAsia="Arial" w:hAnsi="Arial"/>
          <w:color w:val="334155"/>
          <w:sz w:val="24"/>
          <w:szCs w:val="24"/>
        </w:rPr>
        <w:t xml:space="preserve">A void property is not a responsive repair. The work is planned, the property is empty and the entire trade sequence can be managed from the start. This makes void management theoretically simpler than responsive repairs — but in practice, voids generate their own complexity: multiple trades in the same property, dependencies between trades, decisions about what to repair versus replace, and the pressure of a re-let target that does not move.</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void turnaround time — from keys in to keys out — is a TSM indicator and increasingly a regulatory focus. Housing Ombudsman cases have highlighted the impact of extended void periods on waiting list applicants. Understanding what drives your turnaround time, and where the delays actually come from, is the starting point for improving it.</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991B1B" w:sz="16"/>
              <w:bottom w:val="none" w:color="FFFFFF" w:sz="0"/>
              <w:right w:val="none" w:color="FFFFFF" w:sz="0"/>
            </w:tcBorders>
            <w:shd w:fill="FEF2F2" w:val="clear"/>
            <w:tcMar>
              <w:top w:type="dxa" w:w="160"/>
              <w:left w:type="dxa" w:w="240"/>
              <w:bottom w:type="dxa" w:w="160"/>
              <w:right w:type="dxa" w:w="200"/>
            </w:tcMar>
          </w:tcPr>
          <w:p>
            <w:pPr>
              <w:spacing w:before="0" w:after="80"/>
            </w:pPr>
            <w:r>
              <w:rPr>
                <w:rFonts w:ascii="Arial" w:cs="Arial" w:eastAsia="Arial" w:hAnsi="Arial"/>
                <w:b/>
                <w:bCs/>
                <w:color w:val="991B1B"/>
                <w:sz w:val="26"/>
                <w:szCs w:val="26"/>
              </w:rPr>
              <w:t xml:space="preserve">The most common cause of extended void turnaround is not trade capacity — it is sequencing and decision delays</w:t>
            </w:r>
          </w:p>
          <w:p>
            <w:pPr>
              <w:spacing w:before="0" w:after="0"/>
            </w:pPr>
            <w:r>
              <w:rPr>
                <w:rFonts w:ascii="Arial" w:cs="Arial" w:eastAsia="Arial" w:hAnsi="Arial"/>
                <w:color w:val="334155"/>
                <w:sz w:val="24"/>
                <w:szCs w:val="24"/>
              </w:rPr>
              <w:t xml:space="preserve">Most void programmes that are running slow are not short of operatives. They are short of decisions. Who decides whether the kitchen needs replacing or just repainting? Who signs off on a non-standard repair? Who contacts the new tenant to confirm the void standard? Every day spent waiting for a decision is a day of void cost. Clarify the decision authority before the void season.</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2. The void sequence</w:t>
      </w:r>
    </w:p>
    <w:p>
      <w:pPr>
        <w:spacing w:before="80" w:after="140"/>
      </w:pPr>
      <w:r>
        <w:rPr>
          <w:rFonts w:ascii="Arial" w:cs="Arial" w:eastAsia="Arial" w:hAnsi="Arial"/>
          <w:color w:val="334155"/>
          <w:sz w:val="24"/>
          <w:szCs w:val="24"/>
        </w:rPr>
        <w:t xml:space="preserve">Every void follows a standard sequence of works, even if the specific jobs within each stage vary. The supervisor and planner need to understand this sequence and manage the dependencies within it.</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400"/>
        <w:gridCol w:w="2400"/>
        <w:gridCol w:w="2600"/>
        <w:gridCol w:w="3238"/>
      </w:tblGrid>
      <w:tr>
        <w:trPr>
          <w:tblHeader/>
        </w:trPr>
        <w:tc>
          <w:tcPr>
            <w:tcW w:type="dxa" w:w="14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Stage</w:t>
            </w:r>
          </w:p>
        </w:tc>
        <w:tc>
          <w:tcPr>
            <w:tcW w:type="dxa" w:w="24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Trades</w:t>
            </w:r>
          </w:p>
        </w:tc>
        <w:tc>
          <w:tcPr>
            <w:tcW w:type="dxa" w:w="26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Dependencies</w:t>
            </w:r>
          </w:p>
        </w:tc>
        <w:tc>
          <w:tcPr>
            <w:tcW w:type="dxa" w:w="3238"/>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Common delays</w:t>
            </w:r>
          </w:p>
        </w:tc>
      </w:tr>
      <w:tr>
        <w:tc>
          <w:tcPr>
            <w:tcW w:type="dxa" w:w="1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1. Initial inspection</w:t>
            </w:r>
          </w:p>
        </w:tc>
        <w:tc>
          <w:tcPr>
            <w:tcW w:type="dxa" w:w="2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Surveyor or senior operative</w:t>
            </w:r>
          </w:p>
        </w:tc>
        <w:tc>
          <w:tcPr>
            <w:tcW w:type="dxa" w:w="26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Must be completed before any works are ordered.</w:t>
            </w:r>
          </w:p>
        </w:tc>
        <w:tc>
          <w:tcPr>
            <w:tcW w:type="dxa" w:w="32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Inspection not booked promptly. Surveyor unavailable.</w:t>
            </w:r>
          </w:p>
        </w:tc>
      </w:tr>
      <w:tr>
        <w:tc>
          <w:tcPr>
            <w:tcW w:type="dxa" w:w="14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2. Clearance</w:t>
            </w:r>
          </w:p>
        </w:tc>
        <w:tc>
          <w:tcPr>
            <w:tcW w:type="dxa" w:w="24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Clearance team or contractors</w:t>
            </w:r>
          </w:p>
        </w:tc>
        <w:tc>
          <w:tcPr>
            <w:tcW w:type="dxa" w:w="26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Property must be clear before trade works begin.</w:t>
            </w:r>
          </w:p>
        </w:tc>
        <w:tc>
          <w:tcPr>
            <w:tcW w:type="dxa" w:w="32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Abandoned goods requiring specialist removal. Dispute over tenant belongings.</w:t>
            </w:r>
          </w:p>
        </w:tc>
      </w:tr>
      <w:tr>
        <w:tc>
          <w:tcPr>
            <w:tcW w:type="dxa" w:w="1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3. Major works</w:t>
            </w:r>
          </w:p>
        </w:tc>
        <w:tc>
          <w:tcPr>
            <w:tcW w:type="dxa" w:w="2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Plumbing, electrical, structural</w:t>
            </w:r>
          </w:p>
        </w:tc>
        <w:tc>
          <w:tcPr>
            <w:tcW w:type="dxa" w:w="26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Must be complete before decoration. Gas safe check here.</w:t>
            </w:r>
          </w:p>
        </w:tc>
        <w:tc>
          <w:tcPr>
            <w:tcW w:type="dxa" w:w="32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Parts availability. Decision delays on replace vs repair.</w:t>
            </w:r>
          </w:p>
        </w:tc>
      </w:tr>
      <w:tr>
        <w:tc>
          <w:tcPr>
            <w:tcW w:type="dxa" w:w="14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4. Carpentry and joinery</w:t>
            </w:r>
          </w:p>
        </w:tc>
        <w:tc>
          <w:tcPr>
            <w:tcW w:type="dxa" w:w="24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Carpentry</w:t>
            </w:r>
          </w:p>
        </w:tc>
        <w:tc>
          <w:tcPr>
            <w:tcW w:type="dxa" w:w="26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Can run in parallel with major works in some cases.</w:t>
            </w:r>
          </w:p>
        </w:tc>
        <w:tc>
          <w:tcPr>
            <w:tcW w:type="dxa" w:w="32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Door and window lead times if ordering required.</w:t>
            </w:r>
          </w:p>
        </w:tc>
      </w:tr>
      <w:tr>
        <w:tc>
          <w:tcPr>
            <w:tcW w:type="dxa" w:w="1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5. Decoration</w:t>
            </w:r>
          </w:p>
        </w:tc>
        <w:tc>
          <w:tcPr>
            <w:tcW w:type="dxa" w:w="2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Painting</w:t>
            </w:r>
          </w:p>
        </w:tc>
        <w:tc>
          <w:tcPr>
            <w:tcW w:type="dxa" w:w="26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Must follow all other works. Any damage during decoration requires re-visit.</w:t>
            </w:r>
          </w:p>
        </w:tc>
        <w:tc>
          <w:tcPr>
            <w:tcW w:type="dxa" w:w="32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Trade sequencing failures that bring other trades in after painting.</w:t>
            </w:r>
          </w:p>
        </w:tc>
      </w:tr>
      <w:tr>
        <w:tc>
          <w:tcPr>
            <w:tcW w:type="dxa" w:w="14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6. Compliance checks</w:t>
            </w:r>
          </w:p>
        </w:tc>
        <w:tc>
          <w:tcPr>
            <w:tcW w:type="dxa" w:w="24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Gas, electrical</w:t>
            </w:r>
          </w:p>
        </w:tc>
        <w:tc>
          <w:tcPr>
            <w:tcW w:type="dxa" w:w="26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Cannot re-let without current certificates.</w:t>
            </w:r>
          </w:p>
        </w:tc>
        <w:tc>
          <w:tcPr>
            <w:tcW w:type="dxa" w:w="32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Certificate not booked until works complete. Access for compliance visit.</w:t>
            </w:r>
          </w:p>
        </w:tc>
      </w:tr>
      <w:tr>
        <w:tc>
          <w:tcPr>
            <w:tcW w:type="dxa" w:w="1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7. Sign-off and re-let</w:t>
            </w:r>
          </w:p>
        </w:tc>
        <w:tc>
          <w:tcPr>
            <w:tcW w:type="dxa" w:w="2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Supervisor or inspector</w:t>
            </w:r>
          </w:p>
        </w:tc>
        <w:tc>
          <w:tcPr>
            <w:tcW w:type="dxa" w:w="26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Final quality check before keys out.</w:t>
            </w:r>
          </w:p>
        </w:tc>
        <w:tc>
          <w:tcPr>
            <w:tcW w:type="dxa" w:w="32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Sign-off not booked in advance. Snagging items identified at sign-off stage.</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3. The repair vs replace decision</w:t>
      </w:r>
    </w:p>
    <w:p>
      <w:pPr>
        <w:spacing w:before="80" w:after="140"/>
      </w:pPr>
      <w:r>
        <w:rPr>
          <w:rFonts w:ascii="Arial" w:cs="Arial" w:eastAsia="Arial" w:hAnsi="Arial"/>
          <w:color w:val="334155"/>
          <w:sz w:val="24"/>
          <w:szCs w:val="24"/>
        </w:rPr>
        <w:t xml:space="preserve">The single most contentious decision in any void is whether to repair or replace a component. Replace too readily and void costs escalate. Repair too conservatively and the new tenant inherits a property that generates callbacks within months.</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decision should be made at the inspection stage and recorded in the void schedule of works. It should not be left to the operative attending the void. The criteria for replacement rather than repair are:</w:t>
      </w:r>
    </w:p>
    <w:p>
      <w:pPr>
        <w:spacing w:before="0" w:after="80"/>
      </w:pPr>
      <w:r>
        <w:rPr>
          <w:rFonts w:ascii="Arial" w:cs="Arial" w:eastAsia="Arial" w:hAnsi="Arial"/>
          <w:color w:val="334155"/>
          <w:sz w:val="24"/>
          <w:szCs w:val="24"/>
        </w:rPr>
        <w:t xml:space="preserve"/>
      </w:r>
    </w:p>
    <w:p>
      <w:pPr>
        <w:pStyle w:val="ListParagraph"/>
        <w:numPr>
          <w:ilvl w:val="0"/>
          <w:numId w:val="2"/>
        </w:numPr>
        <w:spacing w:before="60" w:after="80"/>
      </w:pPr>
      <w:r>
        <w:rPr>
          <w:rFonts w:ascii="Arial" w:cs="Arial" w:eastAsia="Arial" w:hAnsi="Arial"/>
          <w:color w:val="334155"/>
          <w:sz w:val="24"/>
          <w:szCs w:val="24"/>
        </w:rPr>
        <w:t xml:space="preserve">The component has reached the end of its expected service life and is likely to fail within two to three years</w:t>
      </w:r>
    </w:p>
    <w:p>
      <w:pPr>
        <w:pStyle w:val="ListParagraph"/>
        <w:numPr>
          <w:ilvl w:val="0"/>
          <w:numId w:val="2"/>
        </w:numPr>
        <w:spacing w:before="60" w:after="80"/>
      </w:pPr>
      <w:r>
        <w:rPr>
          <w:rFonts w:ascii="Arial" w:cs="Arial" w:eastAsia="Arial" w:hAnsi="Arial"/>
          <w:color w:val="334155"/>
          <w:sz w:val="24"/>
          <w:szCs w:val="24"/>
        </w:rPr>
        <w:t xml:space="preserve">The cost of the repair is more than 50% of the replacement cost</w:t>
      </w:r>
    </w:p>
    <w:p>
      <w:pPr>
        <w:pStyle w:val="ListParagraph"/>
        <w:numPr>
          <w:ilvl w:val="0"/>
          <w:numId w:val="2"/>
        </w:numPr>
        <w:spacing w:before="60" w:after="80"/>
      </w:pPr>
      <w:r>
        <w:rPr>
          <w:rFonts w:ascii="Arial" w:cs="Arial" w:eastAsia="Arial" w:hAnsi="Arial"/>
          <w:color w:val="334155"/>
          <w:sz w:val="24"/>
          <w:szCs w:val="24"/>
        </w:rPr>
        <w:t xml:space="preserve">The component has been repaired more than twice in the previous tenancy</w:t>
      </w:r>
    </w:p>
    <w:p>
      <w:pPr>
        <w:pStyle w:val="ListParagraph"/>
        <w:numPr>
          <w:ilvl w:val="0"/>
          <w:numId w:val="2"/>
        </w:numPr>
        <w:spacing w:before="60" w:after="80"/>
      </w:pPr>
      <w:r>
        <w:rPr>
          <w:rFonts w:ascii="Arial" w:cs="Arial" w:eastAsia="Arial" w:hAnsi="Arial"/>
          <w:color w:val="334155"/>
          <w:sz w:val="24"/>
          <w:szCs w:val="24"/>
        </w:rPr>
        <w:t xml:space="preserve">The component does not meet current regulatory standards and cannot be brought to standard by repair</w:t>
      </w:r>
    </w:p>
    <w:p>
      <w:pPr>
        <w:spacing w:before="0" w:after="8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c>
          <w:tcPr>
            <w:tcW w:type="dxa" w:w="4819"/>
            <w:tcBorders>
              <w:top w:val="single" w:color="E2E8F0" w:sz="1"/>
              <w:left w:val="single" w:color="E2E8F0" w:sz="1"/>
              <w:bottom w:val="single" w:color="E2E8F0" w:sz="1"/>
              <w:right w:val="single" w:color="E2E8F0" w:sz="1"/>
            </w:tcBorders>
            <w:shd w:fill="ECFDF5" w:val="clear"/>
            <w:tcMar>
              <w:top w:type="dxa" w:w="140"/>
              <w:left w:type="dxa" w:w="180"/>
              <w:bottom w:type="dxa" w:w="140"/>
              <w:right w:type="dxa" w:w="180"/>
            </w:tcMar>
          </w:tcPr>
          <w:p>
            <w:pPr>
              <w:spacing w:before="0" w:after="60"/>
            </w:pPr>
            <w:r>
              <w:rPr>
                <w:rFonts w:ascii="Arial" w:cs="Arial" w:eastAsia="Arial" w:hAnsi="Arial"/>
                <w:b/>
                <w:bCs/>
                <w:color w:val="065F46"/>
                <w:sz w:val="21"/>
                <w:szCs w:val="21"/>
              </w:rPr>
              <w:t xml:space="preserve">⚙ If you use dynamic scheduling</w:t>
            </w:r>
          </w:p>
          <w:p>
            <w:pPr>
              <w:spacing w:before="0" w:after="0"/>
            </w:pPr>
            <w:r>
              <w:rPr>
                <w:rFonts w:ascii="Arial" w:cs="Arial" w:eastAsia="Arial" w:hAnsi="Arial"/>
                <w:color w:val="334155"/>
                <w:sz w:val="21"/>
                <w:szCs w:val="21"/>
              </w:rPr>
              <w:t xml:space="preserve">Some organisations use dynamic scheduling for voids, allocating trades automatically to individual void jobs. The risk is that the system treats void jobs like responsive jobs — completing individual tasks without regard for the sequence. Ensure your void workflow is set up as a programme in the system, not as individual unlinked jobs.</w:t>
            </w:r>
          </w:p>
        </w:tc>
        <w:tc>
          <w:tcPr>
            <w:tcW w:type="dxa" w:w="4819"/>
            <w:tcBorders>
              <w:top w:val="single" w:color="E2E8F0" w:sz="1"/>
              <w:left w:val="single" w:color="E2E8F0" w:sz="1"/>
              <w:bottom w:val="single" w:color="E2E8F0" w:sz="1"/>
              <w:right w:val="single" w:color="E2E8F0" w:sz="1"/>
            </w:tcBorders>
            <w:shd w:fill="FFFBEB" w:val="clear"/>
            <w:tcMar>
              <w:top w:type="dxa" w:w="140"/>
              <w:left w:type="dxa" w:w="180"/>
              <w:bottom w:type="dxa" w:w="140"/>
              <w:right w:type="dxa" w:w="180"/>
            </w:tcMar>
          </w:tcPr>
          <w:p>
            <w:pPr>
              <w:spacing w:before="0" w:after="60"/>
            </w:pPr>
            <w:r>
              <w:rPr>
                <w:rFonts w:ascii="Arial" w:cs="Arial" w:eastAsia="Arial" w:hAnsi="Arial"/>
                <w:b/>
                <w:bCs/>
                <w:color w:val="B45309"/>
                <w:sz w:val="21"/>
                <w:szCs w:val="21"/>
              </w:rPr>
              <w:t xml:space="preserve">✏ If you schedule manually</w:t>
            </w:r>
          </w:p>
          <w:p>
            <w:pPr>
              <w:spacing w:before="0" w:after="0"/>
            </w:pPr>
            <w:r>
              <w:rPr>
                <w:rFonts w:ascii="Arial" w:cs="Arial" w:eastAsia="Arial" w:hAnsi="Arial"/>
                <w:color w:val="334155"/>
                <w:sz w:val="21"/>
                <w:szCs w:val="21"/>
              </w:rPr>
              <w:t xml:space="preserve">Manual void management typically uses a void job card or tracker — one document per property showing all jobs, their status and the operative assigned. A simple shared spreadsheet or whiteboard works for small volumes. At higher volumes, a dedicated void tracker visible to planner and supervisor is essential.</w:t>
            </w:r>
          </w:p>
        </w:tc>
      </w:tr>
    </w:tbl>
    <w:p>
      <w:pPr>
        <w:spacing w:before="0" w:after="12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4. Managing the programme</w:t>
      </w:r>
    </w:p>
    <w:p>
      <w:pPr>
        <w:pStyle w:val="Heading2"/>
        <w:spacing w:before="280" w:after="120"/>
      </w:pPr>
      <w:r>
        <w:rPr>
          <w:rFonts w:ascii="Arial" w:cs="Arial" w:eastAsia="Arial" w:hAnsi="Arial"/>
          <w:b/>
          <w:bCs/>
          <w:color w:val="0E7490"/>
          <w:sz w:val="28"/>
          <w:szCs w:val="28"/>
        </w:rPr>
        <w:t xml:space="preserve">4.1  The void pipeline</w:t>
      </w:r>
    </w:p>
    <w:p>
      <w:pPr>
        <w:spacing w:before="80" w:after="140"/>
      </w:pPr>
      <w:r>
        <w:rPr>
          <w:rFonts w:ascii="Arial" w:cs="Arial" w:eastAsia="Arial" w:hAnsi="Arial"/>
          <w:color w:val="334155"/>
          <w:sz w:val="24"/>
          <w:szCs w:val="24"/>
        </w:rPr>
        <w:t xml:space="preserve">At any point in time the supervisor and planner should know: how many voids are in the programme, where each one is in the sequence, what the projected completion date is and what, if anything, is blocking progress.</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A void that is stuck — no progress recorded for more than two working days — needs active intervention, not passive tracking. The most common blockers are: a decision that has not been made, a trade that has not attended, a part that has not arrived or a compliance visit that has not been booked.</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4.2  TSM void management indicator</w:t>
      </w:r>
    </w:p>
    <w:p>
      <w:pPr>
        <w:spacing w:before="80" w:after="140"/>
      </w:pPr>
      <w:r>
        <w:rPr>
          <w:rFonts w:ascii="Arial" w:cs="Arial" w:eastAsia="Arial" w:hAnsi="Arial"/>
          <w:color w:val="334155"/>
          <w:sz w:val="24"/>
          <w:szCs w:val="24"/>
        </w:rPr>
        <w:t xml:space="preserve">The time taken to re-let a void property is measured as a TSM indicator (RP07 — average re-let time). The HouseMark 2024/25 sector median is approximately 35 days. Understanding where your organisation sits relative to this benchmark, and what is driving your specific turnaround time, is the starting point for improvement.</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Break your average turnaround time down by stage: how long is the property sitting between keys in and inspection? Between inspection and works start? Between works completion and compliance check? The bottleneck is almost always in one of these transitions, not in the trade works themselves.</w:t>
      </w:r>
    </w:p>
    <w:p>
      <w:pPr>
        <w:spacing w:before="0" w:after="12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5. The void standard</w:t>
      </w:r>
    </w:p>
    <w:p>
      <w:pPr>
        <w:spacing w:before="80" w:after="140"/>
      </w:pPr>
      <w:r>
        <w:rPr>
          <w:rFonts w:ascii="Arial" w:cs="Arial" w:eastAsia="Arial" w:hAnsi="Arial"/>
          <w:color w:val="334155"/>
          <w:sz w:val="24"/>
          <w:szCs w:val="24"/>
        </w:rPr>
        <w:t xml:space="preserve">The void standard is the agreed specification for a property before re-let — what must be repaired, what must be replaced, what cosmetic standard is acceptable. Without a clear, documented and agreed void standard, every void becomes a negotiation and every re-let generates a potential complaint.</w:t>
      </w:r>
    </w:p>
    <w:p>
      <w:pPr>
        <w:spacing w:before="0" w:after="80"/>
      </w:pPr>
      <w:r>
        <w:rPr>
          <w:rFonts w:ascii="Arial" w:cs="Arial" w:eastAsia="Arial" w:hAnsi="Arial"/>
          <w:color w:val="334155"/>
          <w:sz w:val="24"/>
          <w:szCs w:val="24"/>
        </w:rPr>
        <w:t xml:space="preserve"/>
      </w:r>
    </w:p>
    <w:p>
      <w:pPr>
        <w:pStyle w:val="ListParagraph"/>
        <w:numPr>
          <w:ilvl w:val="0"/>
          <w:numId w:val="2"/>
        </w:numPr>
        <w:spacing w:before="60" w:after="80"/>
      </w:pPr>
      <w:r>
        <w:rPr>
          <w:rFonts w:ascii="Arial" w:cs="Arial" w:eastAsia="Arial" w:hAnsi="Arial"/>
          <w:color w:val="334155"/>
          <w:sz w:val="24"/>
          <w:szCs w:val="24"/>
        </w:rPr>
        <w:t xml:space="preserve">The void standard should be agreed with the housing team before the void season — not debated property by property during it</w:t>
      </w:r>
    </w:p>
    <w:p>
      <w:pPr>
        <w:pStyle w:val="ListParagraph"/>
        <w:numPr>
          <w:ilvl w:val="0"/>
          <w:numId w:val="2"/>
        </w:numPr>
        <w:spacing w:before="60" w:after="80"/>
      </w:pPr>
      <w:r>
        <w:rPr>
          <w:rFonts w:ascii="Arial" w:cs="Arial" w:eastAsia="Arial" w:hAnsi="Arial"/>
          <w:color w:val="334155"/>
          <w:sz w:val="24"/>
          <w:szCs w:val="24"/>
        </w:rPr>
        <w:t xml:space="preserve">It should specify clearly what is mandatory (compliance, structural, functional services) and what is discretionary (cosmetic, like-for-like replacements)</w:t>
      </w:r>
    </w:p>
    <w:p>
      <w:pPr>
        <w:pStyle w:val="ListParagraph"/>
        <w:numPr>
          <w:ilvl w:val="0"/>
          <w:numId w:val="2"/>
        </w:numPr>
        <w:spacing w:before="60" w:after="80"/>
      </w:pPr>
      <w:r>
        <w:rPr>
          <w:rFonts w:ascii="Arial" w:cs="Arial" w:eastAsia="Arial" w:hAnsi="Arial"/>
          <w:color w:val="334155"/>
          <w:sz w:val="24"/>
          <w:szCs w:val="24"/>
        </w:rPr>
        <w:t xml:space="preserve">It should include a photography requirement at the end of each stage — photographic evidence of void condition before and after each trade is the most effective protection against tenant disputes at sign-up</w:t>
      </w:r>
    </w:p>
    <w:p>
      <w:pPr>
        <w:spacing w:before="0" w:after="12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6. Quick reference</w:t>
      </w:r>
    </w:p>
    <w:p>
      <w:pPr>
        <w:pStyle w:val="Heading2"/>
        <w:spacing w:before="280" w:after="120"/>
      </w:pPr>
      <w:r>
        <w:rPr>
          <w:rFonts w:ascii="Arial" w:cs="Arial" w:eastAsia="Arial" w:hAnsi="Arial"/>
          <w:b/>
          <w:bCs/>
          <w:color w:val="0E7490"/>
          <w:sz w:val="28"/>
          <w:szCs w:val="28"/>
        </w:rPr>
        <w:t xml:space="preserve">Void sequence — seven stages</w:t>
      </w:r>
    </w:p>
    <w:p>
      <w:pPr>
        <w:pStyle w:val="ListParagraph"/>
        <w:numPr>
          <w:ilvl w:val="0"/>
          <w:numId w:val="3"/>
        </w:numPr>
        <w:spacing w:before="60" w:after="100"/>
      </w:pPr>
      <w:r>
        <w:rPr>
          <w:rFonts w:ascii="Arial" w:cs="Arial" w:eastAsia="Arial" w:hAnsi="Arial"/>
          <w:color w:val="334155"/>
          <w:sz w:val="24"/>
          <w:szCs w:val="24"/>
        </w:rPr>
        <w:t xml:space="preserve">Initial inspection — before any works ordered</w:t>
      </w:r>
    </w:p>
    <w:p>
      <w:pPr>
        <w:pStyle w:val="ListParagraph"/>
        <w:numPr>
          <w:ilvl w:val="0"/>
          <w:numId w:val="3"/>
        </w:numPr>
        <w:spacing w:before="60" w:after="100"/>
      </w:pPr>
      <w:r>
        <w:rPr>
          <w:rFonts w:ascii="Arial" w:cs="Arial" w:eastAsia="Arial" w:hAnsi="Arial"/>
          <w:color w:val="334155"/>
          <w:sz w:val="24"/>
          <w:szCs w:val="24"/>
        </w:rPr>
        <w:t xml:space="preserve">Clearance — before trade works begin</w:t>
      </w:r>
    </w:p>
    <w:p>
      <w:pPr>
        <w:pStyle w:val="ListParagraph"/>
        <w:numPr>
          <w:ilvl w:val="0"/>
          <w:numId w:val="3"/>
        </w:numPr>
        <w:spacing w:before="60" w:after="100"/>
      </w:pPr>
      <w:r>
        <w:rPr>
          <w:rFonts w:ascii="Arial" w:cs="Arial" w:eastAsia="Arial" w:hAnsi="Arial"/>
          <w:color w:val="334155"/>
          <w:sz w:val="24"/>
          <w:szCs w:val="24"/>
        </w:rPr>
        <w:t xml:space="preserve">Major works — plumbing, electrical, structural</w:t>
      </w:r>
    </w:p>
    <w:p>
      <w:pPr>
        <w:pStyle w:val="ListParagraph"/>
        <w:numPr>
          <w:ilvl w:val="0"/>
          <w:numId w:val="3"/>
        </w:numPr>
        <w:spacing w:before="60" w:after="100"/>
      </w:pPr>
      <w:r>
        <w:rPr>
          <w:rFonts w:ascii="Arial" w:cs="Arial" w:eastAsia="Arial" w:hAnsi="Arial"/>
          <w:color w:val="334155"/>
          <w:sz w:val="24"/>
          <w:szCs w:val="24"/>
        </w:rPr>
        <w:t xml:space="preserve">Carpentry and joinery</w:t>
      </w:r>
    </w:p>
    <w:p>
      <w:pPr>
        <w:pStyle w:val="ListParagraph"/>
        <w:numPr>
          <w:ilvl w:val="0"/>
          <w:numId w:val="3"/>
        </w:numPr>
        <w:spacing w:before="60" w:after="100"/>
      </w:pPr>
      <w:r>
        <w:rPr>
          <w:rFonts w:ascii="Arial" w:cs="Arial" w:eastAsia="Arial" w:hAnsi="Arial"/>
          <w:color w:val="334155"/>
          <w:sz w:val="24"/>
          <w:szCs w:val="24"/>
        </w:rPr>
        <w:t xml:space="preserve">Decoration — always last</w:t>
      </w:r>
    </w:p>
    <w:p>
      <w:pPr>
        <w:pStyle w:val="ListParagraph"/>
        <w:numPr>
          <w:ilvl w:val="0"/>
          <w:numId w:val="3"/>
        </w:numPr>
        <w:spacing w:before="60" w:after="100"/>
      </w:pPr>
      <w:r>
        <w:rPr>
          <w:rFonts w:ascii="Arial" w:cs="Arial" w:eastAsia="Arial" w:hAnsi="Arial"/>
          <w:color w:val="334155"/>
          <w:sz w:val="24"/>
          <w:szCs w:val="24"/>
        </w:rPr>
        <w:t xml:space="preserve">Compliance checks — gas and electrical certificates</w:t>
      </w:r>
    </w:p>
    <w:p>
      <w:pPr>
        <w:pStyle w:val="ListParagraph"/>
        <w:numPr>
          <w:ilvl w:val="0"/>
          <w:numId w:val="3"/>
        </w:numPr>
        <w:spacing w:before="60" w:after="100"/>
      </w:pPr>
      <w:r>
        <w:rPr>
          <w:rFonts w:ascii="Arial" w:cs="Arial" w:eastAsia="Arial" w:hAnsi="Arial"/>
          <w:color w:val="334155"/>
          <w:sz w:val="24"/>
          <w:szCs w:val="24"/>
        </w:rPr>
        <w:t xml:space="preserve">Sign-off and re-let</w:t>
      </w:r>
    </w:p>
    <w:p>
      <w:pPr>
        <w:spacing w:before="0" w:after="8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Repair vs replace criteria</w:t>
      </w:r>
    </w:p>
    <w:p>
      <w:pPr>
        <w:pStyle w:val="ListParagraph"/>
        <w:numPr>
          <w:ilvl w:val="0"/>
          <w:numId w:val="2"/>
        </w:numPr>
        <w:spacing w:before="60" w:after="80"/>
      </w:pPr>
      <w:r>
        <w:rPr>
          <w:rFonts w:ascii="Arial" w:cs="Arial" w:eastAsia="Arial" w:hAnsi="Arial"/>
          <w:color w:val="334155"/>
          <w:sz w:val="24"/>
          <w:szCs w:val="24"/>
        </w:rPr>
        <w:t xml:space="preserve">End of service life · Repair cost &gt;50% of replacement · Repaired twice in previous tenancy · Does not meet current standards</w:t>
      </w:r>
    </w:p>
    <w:p>
      <w:pPr>
        <w:spacing w:before="0" w:after="8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Programme management</w:t>
      </w:r>
    </w:p>
    <w:p>
      <w:pPr>
        <w:pStyle w:val="ListParagraph"/>
        <w:numPr>
          <w:ilvl w:val="0"/>
          <w:numId w:val="2"/>
        </w:numPr>
        <w:spacing w:before="60" w:after="80"/>
      </w:pPr>
      <w:r>
        <w:rPr>
          <w:rFonts w:ascii="Arial" w:cs="Arial" w:eastAsia="Arial" w:hAnsi="Arial"/>
          <w:color w:val="334155"/>
          <w:sz w:val="24"/>
          <w:szCs w:val="24"/>
        </w:rPr>
        <w:t xml:space="preserve">Know where every void is in the sequence at all times</w:t>
      </w:r>
    </w:p>
    <w:p>
      <w:pPr>
        <w:pStyle w:val="ListParagraph"/>
        <w:numPr>
          <w:ilvl w:val="0"/>
          <w:numId w:val="2"/>
        </w:numPr>
        <w:spacing w:before="60" w:after="80"/>
      </w:pPr>
      <w:r>
        <w:rPr>
          <w:rFonts w:ascii="Arial" w:cs="Arial" w:eastAsia="Arial" w:hAnsi="Arial"/>
          <w:color w:val="334155"/>
          <w:sz w:val="24"/>
          <w:szCs w:val="24"/>
        </w:rPr>
        <w:t xml:space="preserve">A void stuck for two working days needs active intervention</w:t>
      </w:r>
    </w:p>
    <w:p>
      <w:pPr>
        <w:pStyle w:val="ListParagraph"/>
        <w:numPr>
          <w:ilvl w:val="0"/>
          <w:numId w:val="2"/>
        </w:numPr>
        <w:spacing w:before="60" w:after="80"/>
      </w:pPr>
      <w:r>
        <w:rPr>
          <w:rFonts w:ascii="Arial" w:cs="Arial" w:eastAsia="Arial" w:hAnsi="Arial"/>
          <w:color w:val="334155"/>
          <w:sz w:val="24"/>
          <w:szCs w:val="24"/>
        </w:rPr>
        <w:t xml:space="preserve">Agree the void standard with housing before the season, not during it</w:t>
      </w:r>
    </w:p>
    <w:p>
      <w:pPr>
        <w:spacing w:before="0" w:after="16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891B2" w:sz="16"/>
              <w:bottom w:val="none" w:color="FFFFFF" w:sz="0"/>
              <w:right w:val="none" w:color="FFFFFF" w:sz="0"/>
            </w:tcBorders>
            <w:shd w:fill="E0F2FE" w:val="clear"/>
            <w:tcMar>
              <w:top w:type="dxa" w:w="160"/>
              <w:left w:type="dxa" w:w="240"/>
              <w:bottom w:type="dxa" w:w="160"/>
              <w:right w:type="dxa" w:w="200"/>
            </w:tcMar>
          </w:tcPr>
          <w:p>
            <w:pPr>
              <w:spacing w:before="0" w:after="80"/>
            </w:pPr>
            <w:r>
              <w:rPr>
                <w:rFonts w:ascii="Arial" w:cs="Arial" w:eastAsia="Arial" w:hAnsi="Arial"/>
                <w:b/>
                <w:bCs/>
                <w:color w:val="0E7490"/>
                <w:sz w:val="26"/>
                <w:szCs w:val="26"/>
              </w:rPr>
              <w:t xml:space="preserve">The bottom line</w:t>
            </w:r>
          </w:p>
          <w:p>
            <w:pPr>
              <w:spacing w:before="0" w:after="0"/>
            </w:pPr>
            <w:r>
              <w:rPr>
                <w:rFonts w:ascii="Arial" w:cs="Arial" w:eastAsia="Arial" w:hAnsi="Arial"/>
                <w:color w:val="334155"/>
                <w:sz w:val="24"/>
                <w:szCs w:val="24"/>
              </w:rPr>
              <w:t xml:space="preserve">Void turnaround time is one of the most visible measures of a maintenance team's operational effectiveness. It is also one of the most controllable — unlike responsive demand, void volume is broadly predictable and the sequence is known in advance. The teams with the best turnaround times are not faster — they are better organised.</w:t>
            </w:r>
          </w:p>
        </w:tc>
      </w:tr>
    </w:tbl>
    <w:p>
      <w:pPr>
        <w:spacing w:before="0" w:after="200"/>
      </w:pPr>
      <w:r>
        <w:rPr>
          <w:rFonts w:ascii="Arial" w:cs="Arial" w:eastAsia="Arial" w:hAnsi="Arial"/>
          <w:color w:val="334155"/>
          <w:sz w:val="24"/>
          <w:szCs w:val="24"/>
        </w:rPr>
        <w:t xml:space="preserve"/>
      </w:r>
    </w:p>
    <w:p>
      <w:pPr>
        <w:pBdr>
          <w:top w:val="single" w:color="E2E8F0" w:sz="2" w:space="10"/>
        </w:pBdr>
        <w:spacing w:before="240" w:after="0"/>
      </w:pPr>
      <w:r>
        <w:rPr>
          <w:rFonts w:ascii="Arial" w:cs="Arial" w:eastAsia="Arial" w:hAnsi="Arial"/>
          <w:color w:val="94A3B8"/>
          <w:sz w:val="18"/>
          <w:szCs w:val="18"/>
        </w:rPr>
        <w:t xml:space="preserve">socialhousing.ai  ·  Planning &amp; Scheduling Series  ·  Void Management — Getting Properties Back Fast  ·  March 2026  ·  Free to use and share</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80"/>
      <w:outlineLvl w:val="0"/>
    </w:pPr>
    <w:rPr>
      <w:rFonts w:ascii="Arial" w:cs="Arial" w:eastAsia="Arial" w:hAnsi="Arial"/>
      <w:b/>
      <w:bCs/>
      <w:color w:val="0A0F1E"/>
      <w:sz w:val="36"/>
      <w:szCs w:val="36"/>
    </w:rPr>
  </w:style>
  <w:style w:type="paragraph" w:styleId="Heading2">
    <w:name w:val="Heading 2"/>
    <w:basedOn w:val="Normal"/>
    <w:next w:val="Normal"/>
    <w:qFormat/>
    <w:pPr>
      <w:spacing w:before="280" w:after="120"/>
      <w:outlineLvl w:val="1"/>
    </w:pPr>
    <w:rPr>
      <w:rFonts w:ascii="Arial" w:cs="Arial" w:eastAsia="Arial" w:hAnsi="Arial"/>
      <w:b/>
      <w:bCs/>
      <w:color w:val="0E7490"/>
      <w:sz w:val="28"/>
      <w:szCs w:val="28"/>
    </w:rPr>
  </w:style>
  <w:style w:type="paragraph" w:styleId="Heading3">
    <w:name w:val="Heading 3"/>
    <w:basedOn w:val="Normal"/>
    <w:next w:val="Normal"/>
    <w:qFormat/>
    <w:pPr>
      <w:spacing w:before="200" w:after="80"/>
      <w:outlineLvl w:val="2"/>
    </w:pPr>
    <w:rPr>
      <w:rFonts w:ascii="Arial" w:cs="Arial" w:eastAsia="Arial" w:hAnsi="Arial"/>
      <w:b/>
      <w:bCs/>
      <w:color w:val="334155"/>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2026-03-23T17:29:45.806Z</dcterms:created>
  <dcterms:modified xsi:type="dcterms:W3CDTF">2026-03-23T17:29:45.807Z</dcterms:modified>
</cp:coreProperties>
</file>

<file path=docProps/custom.xml><?xml version="1.0" encoding="utf-8"?>
<Properties xmlns="http://schemas.openxmlformats.org/officeDocument/2006/custom-properties" xmlns:vt="http://schemas.openxmlformats.org/officeDocument/2006/docPropsVTypes"/>
</file>