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6"/>
                <w:szCs w:val="56"/>
              </w:rPr>
              <w:t xml:space="preserve">Dealing with a Tenant Complaint About an Operative</w:t>
            </w:r>
          </w:p>
          <w:p>
            <w:pPr>
              <w:spacing w:before="0" w:after="320"/>
            </w:pPr>
            <w:r>
              <w:rPr>
                <w:rFonts w:ascii="Arial" w:cs="Arial" w:eastAsia="Arial" w:hAnsi="Arial"/>
                <w:color w:val="FBB024"/>
                <w:sz w:val="28"/>
                <w:szCs w:val="28"/>
              </w:rPr>
              <w:t xml:space="preserve">How to Investigate Fairly, Respond Properly and Use the Learning</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Tenant complaints about operatives are handled badly in most DLOs — either dismissed too quickly or escalated directly to HR without any proper investigation. This playbook gives supervisors a framework for receiving, investigating and responding to complaints that is fair to the operative, fair to the tenant and defensible to the organisation.</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Why this matters</w:t>
      </w:r>
    </w:p>
    <w:p>
      <w:pPr>
        <w:spacing w:before="80" w:after="140"/>
      </w:pPr>
      <w:r>
        <w:rPr>
          <w:rFonts w:ascii="Arial" w:cs="Arial" w:eastAsia="Arial" w:hAnsi="Arial"/>
          <w:color w:val="334155"/>
          <w:sz w:val="24"/>
          <w:szCs w:val="24"/>
        </w:rPr>
        <w:t xml:space="preserve">A complaint about an operative is simultaneously a tenant service issue, a staff welfare issue and a potential regulatory matter. The Housing Ombudsman increasingly scrutinises how registered providers handle complaints about the conduct of staff visiting tenants' homes. A complaint that is dismissed without proper consideration, or escalated without due process, can generate a second-tier complaint that is significantly more damaging than the original.</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supervisor is usually the first management layer to receive a complaint about an operative. How they handle the initial stages — in the first 24 to 48 hours — largely determines the outcome. This playbook is about getting those first stages right.</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The operative is not guilty until investigated</w:t>
            </w:r>
          </w:p>
          <w:p>
            <w:pPr>
              <w:spacing w:before="0" w:after="0"/>
            </w:pPr>
            <w:r>
              <w:rPr>
                <w:rFonts w:ascii="Arial" w:cs="Arial" w:eastAsia="Arial" w:hAnsi="Arial"/>
                <w:color w:val="334155"/>
                <w:sz w:val="24"/>
                <w:szCs w:val="24"/>
              </w:rPr>
              <w:t xml:space="preserve">The most important discipline in the first stage of any complaint is to treat the complaint seriously without treating the operative as guilty. A complaint is an allegation, not a fact. The supervisor who immediately distances themselves from the operative, or who signals to the team that the operative is in trouble, prejudges an outcome that has not yet been established.</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Types of complaint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3600"/>
        <w:gridCol w:w="3838"/>
      </w:tblGrid>
      <w:tr>
        <w:trPr>
          <w:tblHeader/>
        </w:trPr>
        <w:tc>
          <w:tcPr>
            <w:tcW w:type="dxa" w:w="2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Type</w:t>
            </w:r>
          </w:p>
        </w:tc>
        <w:tc>
          <w:tcPr>
            <w:tcW w:type="dxa" w:w="36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Examples</w:t>
            </w:r>
          </w:p>
        </w:tc>
        <w:tc>
          <w:tcPr>
            <w:tcW w:type="dxa" w:w="38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Initial response</w:t>
            </w:r>
          </w:p>
        </w:tc>
      </w:tr>
      <w:tr>
        <w:tc>
          <w:tcPr>
            <w:tcW w:type="dxa" w:w="2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Quality of work</w:t>
            </w:r>
          </w:p>
        </w:tc>
        <w:tc>
          <w:tcPr>
            <w:tcW w:type="dxa" w:w="3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Repair not completed, poor finish, damage caused during visit.</w:t>
            </w:r>
          </w:p>
        </w:tc>
        <w:tc>
          <w:tcPr>
            <w:tcW w:type="dxa" w:w="3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Log, investigate work quality, arrange remedial visit if appropriate.</w:t>
            </w:r>
          </w:p>
        </w:tc>
      </w:tr>
      <w:tr>
        <w:tc>
          <w:tcPr>
            <w:tcW w:type="dxa" w:w="2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Conduct — minor</w:t>
            </w:r>
          </w:p>
        </w:tc>
        <w:tc>
          <w:tcPr>
            <w:tcW w:type="dxa" w:w="3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Late arrival without contact, abrupt communication, left mess.</w:t>
            </w:r>
          </w:p>
        </w:tc>
        <w:tc>
          <w:tcPr>
            <w:tcW w:type="dxa" w:w="3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Log, speak to operative, acknowledge to tenant, apologise for inconvenience.</w:t>
            </w:r>
          </w:p>
        </w:tc>
      </w:tr>
      <w:tr>
        <w:tc>
          <w:tcPr>
            <w:tcW w:type="dxa" w:w="2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Conduct — serious</w:t>
            </w:r>
          </w:p>
        </w:tc>
        <w:tc>
          <w:tcPr>
            <w:tcW w:type="dxa" w:w="36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Rudeness, inappropriate comments, aggressive behaviour.</w:t>
            </w:r>
          </w:p>
        </w:tc>
        <w:tc>
          <w:tcPr>
            <w:tcW w:type="dxa" w:w="3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Log, escalate to manager, operative not to return to this property pending investigation.</w:t>
            </w:r>
          </w:p>
        </w:tc>
      </w:tr>
      <w:tr>
        <w:tc>
          <w:tcPr>
            <w:tcW w:type="dxa" w:w="2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Conduct — very serious</w:t>
            </w:r>
          </w:p>
        </w:tc>
        <w:tc>
          <w:tcPr>
            <w:tcW w:type="dxa" w:w="36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Allegations of theft, harassment, threatening behaviour, safeguarding concerns.</w:t>
            </w:r>
          </w:p>
        </w:tc>
        <w:tc>
          <w:tcPr>
            <w:tcW w:type="dxa" w:w="3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Log, escalate immediately to manager and HR, potentially police. Do not investigate alone.</w:t>
            </w:r>
          </w:p>
        </w:tc>
      </w:tr>
    </w:tbl>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The investigation — what to do</w:t>
      </w:r>
    </w:p>
    <w:p>
      <w:pPr>
        <w:pStyle w:val="Heading2"/>
        <w:spacing w:before="280" w:after="120"/>
      </w:pPr>
      <w:r>
        <w:rPr>
          <w:rFonts w:ascii="Arial" w:cs="Arial" w:eastAsia="Arial" w:hAnsi="Arial"/>
          <w:b/>
          <w:bCs/>
          <w:color w:val="0E7490"/>
          <w:sz w:val="28"/>
          <w:szCs w:val="28"/>
        </w:rPr>
        <w:t xml:space="preserve">Step 1: Receive and record the complaint</w:t>
      </w:r>
    </w:p>
    <w:p>
      <w:pPr>
        <w:spacing w:before="80" w:after="140"/>
      </w:pPr>
      <w:r>
        <w:rPr>
          <w:rFonts w:ascii="Arial" w:cs="Arial" w:eastAsia="Arial" w:hAnsi="Arial"/>
          <w:color w:val="334155"/>
          <w:sz w:val="24"/>
          <w:szCs w:val="24"/>
        </w:rPr>
        <w:t xml:space="preserve">When a complaint is received — whether by phone, email, in person or via housing officer — record it immediately. Date, time, nature of complaint, what the tenant said, who received it. Do not investigate or respond substantively at this stage. Acknowledge receipt and confirm what will happen next.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Step 2: Speak to the operative</w:t>
      </w:r>
    </w:p>
    <w:p>
      <w:pPr>
        <w:spacing w:before="80" w:after="140"/>
      </w:pPr>
      <w:r>
        <w:rPr>
          <w:rFonts w:ascii="Arial" w:cs="Arial" w:eastAsia="Arial" w:hAnsi="Arial"/>
          <w:color w:val="334155"/>
          <w:sz w:val="24"/>
          <w:szCs w:val="24"/>
        </w:rPr>
        <w:t xml:space="preserve">Before doing anything else, speak to the operative. This is not a formal interview — it is a factual conversation. Tell them a complaint has been received, give them the basic nature of the complaint without revealing the tenant's identity if that would be disproportionate, and ask them to give their account of the visit.</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Listen without interrupting. Ask clarifying questions. Make a note of what they say. Do not at this stage express a view on whether the complaint is upheld. Close by telling them you are looking into it and will come back to them.</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Step 3: Review the evidence</w:t>
      </w:r>
    </w:p>
    <w:p>
      <w:pPr>
        <w:spacing w:before="80" w:after="140"/>
      </w:pPr>
      <w:r>
        <w:rPr>
          <w:rFonts w:ascii="Arial" w:cs="Arial" w:eastAsia="Arial" w:hAnsi="Arial"/>
          <w:color w:val="334155"/>
          <w:sz w:val="24"/>
          <w:szCs w:val="24"/>
        </w:rPr>
        <w:t xml:space="preserve">Depending on the type of complaint, the evidence available may include: job notes from the visit, photographs taken during the job, any digital records of appointment times, previous complaints or compliments involving the same operative, any corroborating information from the planner or another operative.</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For quality complaints: inspect the work. If remedial work is needed, arrange it regardless of the outcome of the conduct investigation.</w:t>
      </w:r>
    </w:p>
    <w:p>
      <w:pPr>
        <w:pStyle w:val="ListParagraph"/>
        <w:numPr>
          <w:ilvl w:val="0"/>
          <w:numId w:val="2"/>
        </w:numPr>
        <w:spacing w:before="60" w:after="80"/>
      </w:pPr>
      <w:r>
        <w:rPr>
          <w:rFonts w:ascii="Arial" w:cs="Arial" w:eastAsia="Arial" w:hAnsi="Arial"/>
          <w:color w:val="334155"/>
          <w:sz w:val="24"/>
          <w:szCs w:val="24"/>
        </w:rPr>
        <w:t xml:space="preserve">For conduct complaints: look for any contemporaneous records that corroborate or contradict either account.</w:t>
      </w:r>
    </w:p>
    <w:p>
      <w:pPr>
        <w:pStyle w:val="ListParagraph"/>
        <w:numPr>
          <w:ilvl w:val="0"/>
          <w:numId w:val="2"/>
        </w:numPr>
        <w:spacing w:before="60" w:after="80"/>
      </w:pPr>
      <w:r>
        <w:rPr>
          <w:rFonts w:ascii="Arial" w:cs="Arial" w:eastAsia="Arial" w:hAnsi="Arial"/>
          <w:color w:val="334155"/>
          <w:sz w:val="24"/>
          <w:szCs w:val="24"/>
        </w:rPr>
        <w:t xml:space="preserve">For serious complaints: do not attempt to investigate alone. Escalate to a manager and involve HR.</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Step 4: Reach a conclusion and act on it</w:t>
      </w:r>
    </w:p>
    <w:p>
      <w:pPr>
        <w:spacing w:before="80" w:after="140"/>
      </w:pPr>
      <w:r>
        <w:rPr>
          <w:rFonts w:ascii="Arial" w:cs="Arial" w:eastAsia="Arial" w:hAnsi="Arial"/>
          <w:color w:val="334155"/>
          <w:sz w:val="24"/>
          <w:szCs w:val="24"/>
        </w:rPr>
        <w:t xml:space="preserve">Based on the evidence, the supervisor reaches one of three conclusions: the complaint is upheld, not upheld, or inconclusive (insufficient evidence to determine what happened).</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3800"/>
        <w:gridCol w:w="3838"/>
      </w:tblGrid>
      <w:tr>
        <w:trPr>
          <w:tblHeader/>
        </w:trPr>
        <w:tc>
          <w:tcPr>
            <w:tcW w:type="dxa" w:w="20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Conclusion</w:t>
            </w:r>
          </w:p>
        </w:tc>
        <w:tc>
          <w:tcPr>
            <w:tcW w:type="dxa" w:w="3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means</w:t>
            </w:r>
          </w:p>
        </w:tc>
        <w:tc>
          <w:tcPr>
            <w:tcW w:type="dxa" w:w="38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Action</w:t>
            </w:r>
          </w:p>
        </w:tc>
      </w:tr>
      <w:tr>
        <w:tc>
          <w:tcPr>
            <w:tcW w:type="dxa" w:w="2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Upheld</w:t>
            </w:r>
          </w:p>
        </w:tc>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 evidence supports the tenant's account.</w:t>
            </w:r>
          </w:p>
        </w:tc>
        <w:tc>
          <w:tcPr>
            <w:tcW w:type="dxa" w:w="3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Address with operative using the difficult conversation framework. Apologise formally to tenant. Record outcome.</w:t>
            </w:r>
          </w:p>
        </w:tc>
      </w:tr>
      <w:tr>
        <w:tc>
          <w:tcPr>
            <w:tcW w:type="dxa" w:w="2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Not upheld</w:t>
            </w:r>
          </w:p>
        </w:tc>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 evidence does not support the complaint.</w:t>
            </w:r>
          </w:p>
        </w:tc>
        <w:tc>
          <w:tcPr>
            <w:tcW w:type="dxa" w:w="3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Respond to tenant explaining what was found. Support the operative. Record outcome.</w:t>
            </w:r>
          </w:p>
        </w:tc>
      </w:tr>
      <w:tr>
        <w:tc>
          <w:tcPr>
            <w:tcW w:type="dxa" w:w="2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Inconclusive</w:t>
            </w:r>
          </w:p>
        </w:tc>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Insufficient evidence either way.</w:t>
            </w:r>
          </w:p>
        </w:tc>
        <w:tc>
          <w:tcPr>
            <w:tcW w:type="dxa" w:w="3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Acknowledge to tenant that the matter was investigated. Review whether any precautionary action is appropriate.</w:t>
            </w:r>
          </w:p>
        </w:tc>
      </w:tr>
    </w:tbl>
    <w:p>
      <w:pPr>
        <w:spacing w:before="0" w:after="12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Responding to the tenant</w:t>
      </w:r>
    </w:p>
    <w:p>
      <w:pPr>
        <w:spacing w:before="80" w:after="140"/>
      </w:pPr>
      <w:r>
        <w:rPr>
          <w:rFonts w:ascii="Arial" w:cs="Arial" w:eastAsia="Arial" w:hAnsi="Arial"/>
          <w:color w:val="334155"/>
          <w:sz w:val="24"/>
          <w:szCs w:val="24"/>
        </w:rPr>
        <w:t xml:space="preserve">Every complaint deserves a response. The response should be timely (within the organisation's complaint response timescale), written where the complaint was serious, and honest about what was found without disclosing confidential information about the operative.</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Do not disclose what action has been taken against the operative — this is personnel information.</w:t>
      </w:r>
    </w:p>
    <w:p>
      <w:pPr>
        <w:pStyle w:val="ListParagraph"/>
        <w:numPr>
          <w:ilvl w:val="0"/>
          <w:numId w:val="2"/>
        </w:numPr>
        <w:spacing w:before="60" w:after="80"/>
      </w:pPr>
      <w:r>
        <w:rPr>
          <w:rFonts w:ascii="Arial" w:cs="Arial" w:eastAsia="Arial" w:hAnsi="Arial"/>
          <w:color w:val="334155"/>
          <w:sz w:val="24"/>
          <w:szCs w:val="24"/>
        </w:rPr>
        <w:t xml:space="preserve">Do apologise for the tenant's experience where a service failure occurred, even if the operative's conduct was not at fault.</w:t>
      </w:r>
    </w:p>
    <w:p>
      <w:pPr>
        <w:pStyle w:val="ListParagraph"/>
        <w:numPr>
          <w:ilvl w:val="0"/>
          <w:numId w:val="2"/>
        </w:numPr>
        <w:spacing w:before="60" w:after="80"/>
      </w:pPr>
      <w:r>
        <w:rPr>
          <w:rFonts w:ascii="Arial" w:cs="Arial" w:eastAsia="Arial" w:hAnsi="Arial"/>
          <w:color w:val="334155"/>
          <w:sz w:val="24"/>
          <w:szCs w:val="24"/>
        </w:rPr>
        <w:t xml:space="preserve">Do confirm what will happen next if remedial work is required.</w:t>
      </w:r>
    </w:p>
    <w:p>
      <w:pPr>
        <w:pStyle w:val="ListParagraph"/>
        <w:numPr>
          <w:ilvl w:val="0"/>
          <w:numId w:val="2"/>
        </w:numPr>
        <w:spacing w:before="60" w:after="80"/>
      </w:pPr>
      <w:r>
        <w:rPr>
          <w:rFonts w:ascii="Arial" w:cs="Arial" w:eastAsia="Arial" w:hAnsi="Arial"/>
          <w:color w:val="334155"/>
          <w:sz w:val="24"/>
          <w:szCs w:val="24"/>
        </w:rPr>
        <w:t xml:space="preserve">Do tell the tenant how to escalate if they remain dissatisfied.</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Supporting the operative</w:t>
      </w:r>
    </w:p>
    <w:p>
      <w:pPr>
        <w:spacing w:before="80" w:after="140"/>
      </w:pPr>
      <w:r>
        <w:rPr>
          <w:rFonts w:ascii="Arial" w:cs="Arial" w:eastAsia="Arial" w:hAnsi="Arial"/>
          <w:color w:val="334155"/>
          <w:sz w:val="24"/>
          <w:szCs w:val="24"/>
        </w:rPr>
        <w:t xml:space="preserve">Being the subject of a complaint is stressful, even when the complaint is later not upheld. The supervisor has a duty to support the operative through the process and to tell them the outcome.</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Tell the operative the outcome as soon as a conclusion is reached.</w:t>
      </w:r>
    </w:p>
    <w:p>
      <w:pPr>
        <w:pStyle w:val="ListParagraph"/>
        <w:numPr>
          <w:ilvl w:val="0"/>
          <w:numId w:val="2"/>
        </w:numPr>
        <w:spacing w:before="60" w:after="80"/>
      </w:pPr>
      <w:r>
        <w:rPr>
          <w:rFonts w:ascii="Arial" w:cs="Arial" w:eastAsia="Arial" w:hAnsi="Arial"/>
          <w:color w:val="334155"/>
          <w:sz w:val="24"/>
          <w:szCs w:val="24"/>
        </w:rPr>
        <w:t xml:space="preserve">If the complaint is not upheld, be clear that the matter is closed and will not be held against them.</w:t>
      </w:r>
    </w:p>
    <w:p>
      <w:pPr>
        <w:pStyle w:val="ListParagraph"/>
        <w:numPr>
          <w:ilvl w:val="0"/>
          <w:numId w:val="2"/>
        </w:numPr>
        <w:spacing w:before="60" w:after="80"/>
      </w:pPr>
      <w:r>
        <w:rPr>
          <w:rFonts w:ascii="Arial" w:cs="Arial" w:eastAsia="Arial" w:hAnsi="Arial"/>
          <w:color w:val="334155"/>
          <w:sz w:val="24"/>
          <w:szCs w:val="24"/>
        </w:rPr>
        <w:t xml:space="preserve">If the complaint is upheld, address the conduct issue directly but proportionately — minor issues do not warrant formal process on a first complaint.</w:t>
      </w:r>
    </w:p>
    <w:p>
      <w:pPr>
        <w:pStyle w:val="ListParagraph"/>
        <w:numPr>
          <w:ilvl w:val="0"/>
          <w:numId w:val="2"/>
        </w:numPr>
        <w:spacing w:before="60" w:after="80"/>
      </w:pPr>
      <w:r>
        <w:rPr>
          <w:rFonts w:ascii="Arial" w:cs="Arial" w:eastAsia="Arial" w:hAnsi="Arial"/>
          <w:color w:val="334155"/>
          <w:sz w:val="24"/>
          <w:szCs w:val="24"/>
        </w:rPr>
        <w:t xml:space="preserve">Check in with the operative in the days following — not to reopen the issue but to make sure they are not dwelling on it.</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Quick reference</w:t>
      </w:r>
    </w:p>
    <w:p>
      <w:pPr>
        <w:pStyle w:val="Heading2"/>
        <w:spacing w:before="280" w:after="120"/>
      </w:pPr>
      <w:r>
        <w:rPr>
          <w:rFonts w:ascii="Arial" w:cs="Arial" w:eastAsia="Arial" w:hAnsi="Arial"/>
          <w:b/>
          <w:bCs/>
          <w:color w:val="0E7490"/>
          <w:sz w:val="28"/>
          <w:szCs w:val="28"/>
        </w:rPr>
        <w:t xml:space="preserve">Four steps</w:t>
      </w:r>
    </w:p>
    <w:p>
      <w:pPr>
        <w:pStyle w:val="ListParagraph"/>
        <w:numPr>
          <w:ilvl w:val="0"/>
          <w:numId w:val="3"/>
        </w:numPr>
        <w:spacing w:before="60" w:after="100"/>
      </w:pPr>
      <w:r>
        <w:rPr>
          <w:rFonts w:ascii="Arial" w:cs="Arial" w:eastAsia="Arial" w:hAnsi="Arial"/>
          <w:color w:val="334155"/>
          <w:sz w:val="24"/>
          <w:szCs w:val="24"/>
        </w:rPr>
        <w:t xml:space="preserve">Receive and record — date, time, nature, what was said</w:t>
      </w:r>
    </w:p>
    <w:p>
      <w:pPr>
        <w:pStyle w:val="ListParagraph"/>
        <w:numPr>
          <w:ilvl w:val="0"/>
          <w:numId w:val="3"/>
        </w:numPr>
        <w:spacing w:before="60" w:after="100"/>
      </w:pPr>
      <w:r>
        <w:rPr>
          <w:rFonts w:ascii="Arial" w:cs="Arial" w:eastAsia="Arial" w:hAnsi="Arial"/>
          <w:color w:val="334155"/>
          <w:sz w:val="24"/>
          <w:szCs w:val="24"/>
        </w:rPr>
        <w:t xml:space="preserve">Speak to the operative — their account, without prejudging</w:t>
      </w:r>
    </w:p>
    <w:p>
      <w:pPr>
        <w:pStyle w:val="ListParagraph"/>
        <w:numPr>
          <w:ilvl w:val="0"/>
          <w:numId w:val="3"/>
        </w:numPr>
        <w:spacing w:before="60" w:after="100"/>
      </w:pPr>
      <w:r>
        <w:rPr>
          <w:rFonts w:ascii="Arial" w:cs="Arial" w:eastAsia="Arial" w:hAnsi="Arial"/>
          <w:color w:val="334155"/>
          <w:sz w:val="24"/>
          <w:szCs w:val="24"/>
        </w:rPr>
        <w:t xml:space="preserve">Review the evidence — job notes, inspection, records</w:t>
      </w:r>
    </w:p>
    <w:p>
      <w:pPr>
        <w:pStyle w:val="ListParagraph"/>
        <w:numPr>
          <w:ilvl w:val="0"/>
          <w:numId w:val="3"/>
        </w:numPr>
        <w:spacing w:before="60" w:after="100"/>
      </w:pPr>
      <w:r>
        <w:rPr>
          <w:rFonts w:ascii="Arial" w:cs="Arial" w:eastAsia="Arial" w:hAnsi="Arial"/>
          <w:color w:val="334155"/>
          <w:sz w:val="24"/>
          <w:szCs w:val="24"/>
        </w:rPr>
        <w:t xml:space="preserve">Conclude and act — upheld, not upheld or inconclusive</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Remember</w:t>
      </w:r>
    </w:p>
    <w:p>
      <w:pPr>
        <w:pStyle w:val="ListParagraph"/>
        <w:numPr>
          <w:ilvl w:val="0"/>
          <w:numId w:val="2"/>
        </w:numPr>
        <w:spacing w:before="60" w:after="80"/>
      </w:pPr>
      <w:r>
        <w:rPr>
          <w:rFonts w:ascii="Arial" w:cs="Arial" w:eastAsia="Arial" w:hAnsi="Arial"/>
          <w:color w:val="334155"/>
          <w:sz w:val="24"/>
          <w:szCs w:val="24"/>
        </w:rPr>
        <w:t xml:space="preserve">A complaint is an allegation, not a verdict</w:t>
      </w:r>
    </w:p>
    <w:p>
      <w:pPr>
        <w:pStyle w:val="ListParagraph"/>
        <w:numPr>
          <w:ilvl w:val="0"/>
          <w:numId w:val="2"/>
        </w:numPr>
        <w:spacing w:before="60" w:after="80"/>
      </w:pPr>
      <w:r>
        <w:rPr>
          <w:rFonts w:ascii="Arial" w:cs="Arial" w:eastAsia="Arial" w:hAnsi="Arial"/>
          <w:color w:val="334155"/>
          <w:sz w:val="24"/>
          <w:szCs w:val="24"/>
        </w:rPr>
        <w:t xml:space="preserve">Quality failures and conduct issues are separate — fix the work regardless</w:t>
      </w:r>
    </w:p>
    <w:p>
      <w:pPr>
        <w:pStyle w:val="ListParagraph"/>
        <w:numPr>
          <w:ilvl w:val="0"/>
          <w:numId w:val="2"/>
        </w:numPr>
        <w:spacing w:before="60" w:after="80"/>
      </w:pPr>
      <w:r>
        <w:rPr>
          <w:rFonts w:ascii="Arial" w:cs="Arial" w:eastAsia="Arial" w:hAnsi="Arial"/>
          <w:color w:val="334155"/>
          <w:sz w:val="24"/>
          <w:szCs w:val="24"/>
        </w:rPr>
        <w:t xml:space="preserve">Serious allegations go straight to manager and HR</w:t>
      </w:r>
    </w:p>
    <w:p>
      <w:pPr>
        <w:pStyle w:val="ListParagraph"/>
        <w:numPr>
          <w:ilvl w:val="0"/>
          <w:numId w:val="2"/>
        </w:numPr>
        <w:spacing w:before="60" w:after="80"/>
      </w:pPr>
      <w:r>
        <w:rPr>
          <w:rFonts w:ascii="Arial" w:cs="Arial" w:eastAsia="Arial" w:hAnsi="Arial"/>
          <w:color w:val="334155"/>
          <w:sz w:val="24"/>
          <w:szCs w:val="24"/>
        </w:rPr>
        <w:t xml:space="preserve">The operative deserves to know the outcome</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A tenant complaint handled well can actually improve the tenant's view of the service. A tenant who complains, is taken seriously, receives a proper investigation and gets a genuine response feels heard. That is what the Housing Ombudsman is looking for. Handle it poorly and a minor complaint becomes a major one.</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Dealing with a Tenant Complaint About an Operative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2026-03-23T16:46:24.822Z</dcterms:created>
  <dcterms:modified xsi:type="dcterms:W3CDTF">2026-03-23T16:46:24.822Z</dcterms:modified>
</cp:coreProperties>
</file>

<file path=docProps/custom.xml><?xml version="1.0" encoding="utf-8"?>
<Properties xmlns="http://schemas.openxmlformats.org/officeDocument/2006/custom-properties" xmlns:vt="http://schemas.openxmlformats.org/officeDocument/2006/docPropsVTypes"/>
</file>