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60"/>
                <w:szCs w:val="60"/>
              </w:rPr>
              <w:t xml:space="preserve">Return to Work Interviews</w:t>
            </w:r>
          </w:p>
          <w:p>
            <w:pPr>
              <w:spacing w:before="0" w:after="320"/>
            </w:pPr>
            <w:r>
              <w:rPr>
                <w:rFonts w:ascii="Arial" w:cs="Arial" w:eastAsia="Arial" w:hAnsi="Arial"/>
                <w:b w:val="false"/>
                <w:bCs w:val="false"/>
                <w:color w:val="FBB024"/>
                <w:sz w:val="28"/>
                <w:szCs w:val="28"/>
              </w:rPr>
              <w:t xml:space="preserve">A Practical Guide for Supervisors — How to Use the Most Effective Absence Tool Available</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The return to work interview is the single most effective absence management tool available to a supervisor. Most supervisors either do not do them, do them badly, or do them in a way that makes absence worse rather than better. This playbook covers how to do them properly — the structure, the questions, the documentation and the follow-up.</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RTW interviews work — and why most supervisors avoid them</w:t>
      </w:r>
    </w:p>
    <w:p>
      <w:pPr>
        <w:spacing w:before="80" w:after="140"/>
      </w:pPr>
      <w:r>
        <w:rPr>
          <w:rFonts w:ascii="Arial" w:cs="Arial" w:eastAsia="Arial" w:hAnsi="Arial"/>
          <w:color w:val="334155"/>
          <w:sz w:val="24"/>
          <w:szCs w:val="24"/>
        </w:rPr>
        <w:t xml:space="preserve">The evidence on return to work interviews is consistent and clear. Services that conduct them with every operative after every absence, regardless of length, see absence rates reduce by 20 to 30 per cent within twelve months. Services that conduct them inconsistently or not at all see no improvement regardless of what else they do.</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reason they work is simple. An operative who knows they will have a face-to-face conversation with their supervisor on the day they return — a conversation that will involve explaining the absence, discussing its impact and agreeing any support needed — makes a different calculation about whether to call in sick. This is not punitive. It is the knowledge that absence is noticed, taken seriously and followed up, which is a completely reasonable expectation in any professional environment.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Most supervisors avoid them for one of three reasons: they feel awkward having the conversation, they are not sure what they are allowed to ask, or they do not think it makes a difference. This playbook addresses all three.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Every absence, every time, same day</w:t>
            </w:r>
          </w:p>
          <w:p>
            <w:pPr>
              <w:spacing w:before="0" w:after="0"/>
            </w:pPr>
            <w:r>
              <w:rPr>
                <w:rFonts w:ascii="Arial" w:cs="Arial" w:eastAsia="Arial" w:hAnsi="Arial"/>
                <w:color w:val="334155"/>
                <w:sz w:val="24"/>
                <w:szCs w:val="24"/>
              </w:rPr>
              <w:t xml:space="preserve">The RTW interview loses most of its effectiveness if it is inconsistent. An operative who sometimes gets an RTW and sometimes does not quickly learns that absence has unpredictable consequences. The standard is clear: every operative, every absence, on the day of return. One absence of one day. Ten absences over the year. The rule applies to all of them equally.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the RTW interview is — and what it is not</w:t>
      </w:r>
    </w:p>
    <w:p>
      <w:pPr>
        <w:pStyle w:val="Heading2"/>
        <w:spacing w:before="280" w:after="120"/>
      </w:pPr>
      <w:r>
        <w:rPr>
          <w:rFonts w:ascii="Arial" w:cs="Arial" w:eastAsia="Arial" w:hAnsi="Arial"/>
          <w:b/>
          <w:bCs/>
          <w:color w:val="0E7490"/>
          <w:sz w:val="28"/>
          <w:szCs w:val="28"/>
        </w:rPr>
        <w:t xml:space="preserve">2.1  What it is</w:t>
      </w:r>
    </w:p>
    <w:p>
      <w:pPr>
        <w:pStyle w:val="ListParagraph"/>
        <w:numPr>
          <w:ilvl w:val="0"/>
          <w:numId w:val="2"/>
        </w:numPr>
        <w:spacing w:before="60" w:after="80"/>
      </w:pPr>
      <w:r>
        <w:rPr>
          <w:rFonts w:ascii="Arial" w:cs="Arial" w:eastAsia="Arial" w:hAnsi="Arial"/>
          <w:color w:val="334155"/>
          <w:sz w:val="24"/>
          <w:szCs w:val="24"/>
        </w:rPr>
        <w:t xml:space="preserve">A short, structured, private conversation between supervisor and operative on the day the operative returns from any absence.</w:t>
      </w:r>
    </w:p>
    <w:p>
      <w:pPr>
        <w:pStyle w:val="ListParagraph"/>
        <w:numPr>
          <w:ilvl w:val="0"/>
          <w:numId w:val="2"/>
        </w:numPr>
        <w:spacing w:before="60" w:after="80"/>
      </w:pPr>
      <w:r>
        <w:rPr>
          <w:rFonts w:ascii="Arial" w:cs="Arial" w:eastAsia="Arial" w:hAnsi="Arial"/>
          <w:color w:val="334155"/>
          <w:sz w:val="24"/>
          <w:szCs w:val="24"/>
        </w:rPr>
        <w:t xml:space="preserve">An opportunity to welcome the operative back, check they are well enough to be at work and understand what happened.</w:t>
      </w:r>
    </w:p>
    <w:p>
      <w:pPr>
        <w:pStyle w:val="ListParagraph"/>
        <w:numPr>
          <w:ilvl w:val="0"/>
          <w:numId w:val="2"/>
        </w:numPr>
        <w:spacing w:before="60" w:after="80"/>
      </w:pPr>
      <w:r>
        <w:rPr>
          <w:rFonts w:ascii="Arial" w:cs="Arial" w:eastAsia="Arial" w:hAnsi="Arial"/>
          <w:color w:val="334155"/>
          <w:sz w:val="24"/>
          <w:szCs w:val="24"/>
        </w:rPr>
        <w:t xml:space="preserve">A record that the absence occurred and was discussed.</w:t>
      </w:r>
    </w:p>
    <w:p>
      <w:pPr>
        <w:pStyle w:val="ListParagraph"/>
        <w:numPr>
          <w:ilvl w:val="0"/>
          <w:numId w:val="2"/>
        </w:numPr>
        <w:spacing w:before="60" w:after="80"/>
      </w:pPr>
      <w:r>
        <w:rPr>
          <w:rFonts w:ascii="Arial" w:cs="Arial" w:eastAsia="Arial" w:hAnsi="Arial"/>
          <w:color w:val="334155"/>
          <w:sz w:val="24"/>
          <w:szCs w:val="24"/>
        </w:rPr>
        <w:t xml:space="preserve">An early opportunity to identify patterns, support needs or underlying issues before they become serious.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What it is not</w:t>
      </w:r>
    </w:p>
    <w:p>
      <w:pPr>
        <w:pStyle w:val="ListParagraph"/>
        <w:numPr>
          <w:ilvl w:val="0"/>
          <w:numId w:val="2"/>
        </w:numPr>
        <w:spacing w:before="60" w:after="80"/>
      </w:pPr>
      <w:r>
        <w:rPr>
          <w:rFonts w:ascii="Arial" w:cs="Arial" w:eastAsia="Arial" w:hAnsi="Arial"/>
          <w:color w:val="334155"/>
          <w:sz w:val="24"/>
          <w:szCs w:val="24"/>
        </w:rPr>
        <w:t xml:space="preserve">A disciplinary interview. The RTW interview is a management conversation, not a formal process.</w:t>
      </w:r>
    </w:p>
    <w:p>
      <w:pPr>
        <w:pStyle w:val="ListParagraph"/>
        <w:numPr>
          <w:ilvl w:val="0"/>
          <w:numId w:val="2"/>
        </w:numPr>
        <w:spacing w:before="60" w:after="80"/>
      </w:pPr>
      <w:r>
        <w:rPr>
          <w:rFonts w:ascii="Arial" w:cs="Arial" w:eastAsia="Arial" w:hAnsi="Arial"/>
          <w:color w:val="334155"/>
          <w:sz w:val="24"/>
          <w:szCs w:val="24"/>
        </w:rPr>
        <w:t xml:space="preserve">An interrogation. The supervisor is not trying to catch the operative out or prove the absence was unjustified.</w:t>
      </w:r>
    </w:p>
    <w:p>
      <w:pPr>
        <w:pStyle w:val="ListParagraph"/>
        <w:numPr>
          <w:ilvl w:val="0"/>
          <w:numId w:val="2"/>
        </w:numPr>
        <w:spacing w:before="60" w:after="80"/>
      </w:pPr>
      <w:r>
        <w:rPr>
          <w:rFonts w:ascii="Arial" w:cs="Arial" w:eastAsia="Arial" w:hAnsi="Arial"/>
          <w:color w:val="334155"/>
          <w:sz w:val="24"/>
          <w:szCs w:val="24"/>
        </w:rPr>
        <w:t xml:space="preserve">Optional. Every operative, every absence, every time.</w:t>
      </w:r>
    </w:p>
    <w:p>
      <w:pPr>
        <w:pStyle w:val="ListParagraph"/>
        <w:numPr>
          <w:ilvl w:val="0"/>
          <w:numId w:val="2"/>
        </w:numPr>
        <w:spacing w:before="60" w:after="80"/>
      </w:pPr>
      <w:r>
        <w:rPr>
          <w:rFonts w:ascii="Arial" w:cs="Arial" w:eastAsia="Arial" w:hAnsi="Arial"/>
          <w:color w:val="334155"/>
          <w:sz w:val="24"/>
          <w:szCs w:val="24"/>
        </w:rPr>
        <w:t xml:space="preserve">A tick-box exercise. An RTW interview completed in thirty seconds without genuine engagement is worse than useless — it teaches the operative that absence management is not taken seriously.</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Keep it separate from performance management</w:t>
            </w:r>
          </w:p>
          <w:p>
            <w:pPr>
              <w:spacing w:before="0" w:after="0"/>
            </w:pPr>
            <w:r>
              <w:rPr>
                <w:rFonts w:ascii="Arial" w:cs="Arial" w:eastAsia="Arial" w:hAnsi="Arial"/>
                <w:color w:val="334155"/>
                <w:sz w:val="24"/>
                <w:szCs w:val="24"/>
              </w:rPr>
              <w:t xml:space="preserve">The RTW interview should not be used to raise historic performance concerns or deliver bad news on another subject. If the supervisor has a separate performance issue to discuss, that conversation should happen at a different time. Conflating the two undermines both.</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RTW interview structure</w:t>
      </w:r>
    </w:p>
    <w:p>
      <w:pPr>
        <w:spacing w:before="80" w:after="140"/>
      </w:pPr>
      <w:r>
        <w:rPr>
          <w:rFonts w:ascii="Arial" w:cs="Arial" w:eastAsia="Arial" w:hAnsi="Arial"/>
          <w:color w:val="334155"/>
          <w:sz w:val="24"/>
          <w:szCs w:val="24"/>
        </w:rPr>
        <w:t xml:space="preserve">The following structure works for the vast majority of return to work conversations. It takes between five and fifteen minutes. It covers everything that needs to be covered without becoming intrusive or adversarial.</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The six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
        <w:gridCol w:w="3000"/>
        <w:gridCol w:w="3000"/>
        <w:gridCol w:w="3438"/>
      </w:tblGrid>
      <w:tr>
        <w:trPr>
          <w:tblHeader/>
        </w:trPr>
        <w:tc>
          <w:tcPr>
            <w:tcW w:type="dxa" w:w="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
            </w:r>
          </w:p>
        </w:tc>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Question</w:t>
            </w:r>
          </w:p>
        </w:tc>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Purpose</w:t>
            </w:r>
          </w:p>
        </w:tc>
        <w:tc>
          <w:tcPr>
            <w:tcW w:type="dxa" w:w="3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good looks like</w:t>
            </w:r>
          </w:p>
        </w:tc>
      </w:tr>
      <w:tr>
        <w:tc>
          <w:tcPr>
            <w:tcW w:type="dxa" w:w="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Welcome back — how are you feeling?</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Signals that the operative's wellbeing matters. Sets a constructive tone.</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genuine question, not a formality. Make eye contact. Wait for the answer.</w:t>
            </w:r>
          </w:p>
        </w:tc>
      </w:tr>
      <w:tr>
        <w:tc>
          <w:tcPr>
            <w:tcW w:type="dxa" w:w="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Can you tell me about your absence — what happened?</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Gives the operative the opportunity to explain in their own words.</w:t>
            </w:r>
          </w:p>
        </w:tc>
        <w:tc>
          <w:tcPr>
            <w:tcW w:type="dxa" w:w="3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Listen without interrupting. Do not express scepticism. Ask a follow-up question if needed.</w:t>
            </w:r>
          </w:p>
        </w:tc>
      </w:tr>
      <w:tr>
        <w:tc>
          <w:tcPr>
            <w:tcW w:type="dxa" w:w="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Are you well enough to be back at work today? Are there any restrictions on what you can do?</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Checks fitness to work and identifies any adjustment needed.</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This is a genuine welfare question. If the answer is uncertain, discuss options including phased return.</w:t>
            </w:r>
          </w:p>
        </w:tc>
      </w:tr>
      <w:tr>
        <w:tc>
          <w:tcPr>
            <w:tcW w:type="dxa" w:w="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Is there anything work-related that contributed to the absence or that we should be aware of?</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Opens the door to work-related factors — stress, workload, team dynamics, a workplace issue.</w:t>
            </w:r>
          </w:p>
        </w:tc>
        <w:tc>
          <w:tcPr>
            <w:tcW w:type="dxa" w:w="3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Be genuinely open to the answer. If a work-related factor is raised, take it seriously and follow up.</w:t>
            </w:r>
          </w:p>
        </w:tc>
      </w:tr>
      <w:tr>
        <w:tc>
          <w:tcPr>
            <w:tcW w:type="dxa" w:w="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Is there anything I can do to support you?</w:t>
            </w:r>
          </w:p>
        </w:tc>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Offers support and demonstrates that the organisation's response to absence is not purely punitive.</w:t>
            </w:r>
          </w:p>
        </w:tc>
        <w:tc>
          <w:tcPr>
            <w:tcW w:type="dxa" w:w="3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Know what support is available before the interview. Do not offer things you cannot deliver.</w:t>
            </w:r>
          </w:p>
        </w:tc>
      </w:tr>
      <w:tr>
        <w:tc>
          <w:tcPr>
            <w:tcW w:type="dxa" w:w="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6</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want to make sure you know that your absence does have an impact on the team. Going forward, what I need from you is to let me know as soon as possible if you are unable to come in.</w:t>
            </w:r>
          </w:p>
        </w:tc>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Names the impact of absence and sets a clear expectation for future notification.</w:t>
            </w:r>
          </w:p>
        </w:tc>
        <w:tc>
          <w:tcPr>
            <w:tcW w:type="dxa" w:w="3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This should be said calmly and without aggression. It is a factual statement, not a threat.</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Question 6 is the one supervisors skip</w:t>
            </w:r>
          </w:p>
          <w:p>
            <w:pPr>
              <w:spacing w:before="0" w:after="0"/>
            </w:pPr>
            <w:r>
              <w:rPr>
                <w:rFonts w:ascii="Arial" w:cs="Arial" w:eastAsia="Arial" w:hAnsi="Arial"/>
                <w:color w:val="334155"/>
                <w:sz w:val="24"/>
                <w:szCs w:val="24"/>
              </w:rPr>
              <w:t xml:space="preserve">Most supervisors are comfortable with questions 1 to 5. Question 6 is the one they leave out because it feels confrontational. It is not confrontational — it is honest. The operative who knows their absence has an impact on the team and that the supervisor will name it is an operative who makes a more considered decision about their next absence. Do not skip it.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Handling specific situations</w:t>
      </w:r>
    </w:p>
    <w:p>
      <w:pPr>
        <w:pStyle w:val="Heading2"/>
        <w:spacing w:before="280" w:after="120"/>
      </w:pPr>
      <w:r>
        <w:rPr>
          <w:rFonts w:ascii="Arial" w:cs="Arial" w:eastAsia="Arial" w:hAnsi="Arial"/>
          <w:b/>
          <w:bCs/>
          <w:color w:val="0E7490"/>
          <w:sz w:val="28"/>
          <w:szCs w:val="28"/>
        </w:rPr>
        <w:t xml:space="preserve">4.1  The operative who says it was personal and does not want to discuss it</w:t>
      </w:r>
    </w:p>
    <w:p>
      <w:pPr>
        <w:spacing w:before="80" w:after="140"/>
      </w:pPr>
      <w:r>
        <w:rPr>
          <w:rFonts w:ascii="Arial" w:cs="Arial" w:eastAsia="Arial" w:hAnsi="Arial"/>
          <w:color w:val="334155"/>
          <w:sz w:val="24"/>
          <w:szCs w:val="24"/>
        </w:rPr>
        <w:t xml:space="preserve">An operative is not obliged to give the supervisor a detailed account of their medical condition. If an operative says "it was personal and I'd rather not go into detail," the supervisor should accept this without pressing further. The RTW interview still takes place. Questions 1, 3, 5 and 6 still get asked. The record notes "personal, operative preferred not to discuss in detail." That is sufficient.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The operative who has been absent frequently</w:t>
      </w:r>
    </w:p>
    <w:p>
      <w:pPr>
        <w:spacing w:before="80" w:after="140"/>
      </w:pPr>
      <w:r>
        <w:rPr>
          <w:rFonts w:ascii="Arial" w:cs="Arial" w:eastAsia="Arial" w:hAnsi="Arial"/>
          <w:color w:val="334155"/>
          <w:sz w:val="24"/>
          <w:szCs w:val="24"/>
        </w:rPr>
        <w:t xml:space="preserve">If an operative has had multiple short absences — the Bradford Factor is a useful indicator, but pattern is more important than formula — the RTW conversation needs to go further than the standard six questions. The supervisor should name the pattern directly: "This is the fourth time you have been absent in the last twelve weeks. I want to understand whether there is something underlying that we should be aware of and whether there is anything we can do to support you."</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the pattern continues after this conversation, refer to the Managing Operative Performance playbook for the formal escalation framework.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The operative who was absent due to a workplace injury or stress</w:t>
      </w:r>
    </w:p>
    <w:p>
      <w:pPr>
        <w:spacing w:before="80" w:after="140"/>
      </w:pPr>
      <w:r>
        <w:rPr>
          <w:rFonts w:ascii="Arial" w:cs="Arial" w:eastAsia="Arial" w:hAnsi="Arial"/>
          <w:color w:val="334155"/>
          <w:sz w:val="24"/>
          <w:szCs w:val="24"/>
        </w:rPr>
        <w:t xml:space="preserve">Where the absence has a work-related cause — an injury sustained at work, stress attributed to the working environment, a conflict with a colleague — the RTW interview triggers additional obligations. The supervisor should listen carefully, document what is said, and escalate to HR. A risk assessment may be required before the operative returns to certain duties. Do not dismiss or minimise a work-related cause.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4.4  The operative who returns before they are ready</w:t>
      </w:r>
    </w:p>
    <w:p>
      <w:pPr>
        <w:spacing w:before="80" w:after="140"/>
      </w:pPr>
      <w:r>
        <w:rPr>
          <w:rFonts w:ascii="Arial" w:cs="Arial" w:eastAsia="Arial" w:hAnsi="Arial"/>
          <w:color w:val="334155"/>
          <w:sz w:val="24"/>
          <w:szCs w:val="24"/>
        </w:rPr>
        <w:t xml:space="preserve">An operative who returns to work because they feel financial or team pressure, rather than because they are genuinely fit, is a risk to themselves and to the quality of the work. If the supervisor has any doubt about an operative's fitness to return, they should say so directly: "I want you back and I appreciate you making the effort — but I also want to make sure you are genuinely ready. How are you feeling about being back on the tools today?" An operative who is not ready should be sent home. This is not disciplinary — it is good management.</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Documentation</w:t>
      </w:r>
    </w:p>
    <w:p>
      <w:pPr>
        <w:spacing w:before="80" w:after="140"/>
      </w:pPr>
      <w:r>
        <w:rPr>
          <w:rFonts w:ascii="Arial" w:cs="Arial" w:eastAsia="Arial" w:hAnsi="Arial"/>
          <w:color w:val="334155"/>
          <w:sz w:val="24"/>
          <w:szCs w:val="24"/>
        </w:rPr>
        <w:t xml:space="preserve">Every RTW interview should be documented. This does not need to be a lengthy document. A brief record of the conversation is sufficient — enough to demonstrate that the interview took place, that the operative confirmed fitness to return, and what if anything was agreed.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Minimum record</w:t>
      </w:r>
    </w:p>
    <w:p>
      <w:pPr>
        <w:pStyle w:val="ListParagraph"/>
        <w:numPr>
          <w:ilvl w:val="0"/>
          <w:numId w:val="2"/>
        </w:numPr>
        <w:spacing w:before="60" w:after="80"/>
      </w:pPr>
      <w:r>
        <w:rPr>
          <w:rFonts w:ascii="Arial" w:cs="Arial" w:eastAsia="Arial" w:hAnsi="Arial"/>
          <w:color w:val="334155"/>
          <w:sz w:val="24"/>
          <w:szCs w:val="24"/>
        </w:rPr>
        <w:t xml:space="preserve">Date of return and date of interview</w:t>
      </w:r>
    </w:p>
    <w:p>
      <w:pPr>
        <w:pStyle w:val="ListParagraph"/>
        <w:numPr>
          <w:ilvl w:val="0"/>
          <w:numId w:val="2"/>
        </w:numPr>
        <w:spacing w:before="60" w:after="80"/>
      </w:pPr>
      <w:r>
        <w:rPr>
          <w:rFonts w:ascii="Arial" w:cs="Arial" w:eastAsia="Arial" w:hAnsi="Arial"/>
          <w:color w:val="334155"/>
          <w:sz w:val="24"/>
          <w:szCs w:val="24"/>
        </w:rPr>
        <w:t xml:space="preserve">Length and nature of absence (without requiring the operative to disclose confidential medical information)</w:t>
      </w:r>
    </w:p>
    <w:p>
      <w:pPr>
        <w:pStyle w:val="ListParagraph"/>
        <w:numPr>
          <w:ilvl w:val="0"/>
          <w:numId w:val="2"/>
        </w:numPr>
        <w:spacing w:before="60" w:after="80"/>
      </w:pPr>
      <w:r>
        <w:rPr>
          <w:rFonts w:ascii="Arial" w:cs="Arial" w:eastAsia="Arial" w:hAnsi="Arial"/>
          <w:color w:val="334155"/>
          <w:sz w:val="24"/>
          <w:szCs w:val="24"/>
        </w:rPr>
        <w:t xml:space="preserve">Operative confirmed fit to return: yes / with adjustments / uncertain</w:t>
      </w:r>
    </w:p>
    <w:p>
      <w:pPr>
        <w:pStyle w:val="ListParagraph"/>
        <w:numPr>
          <w:ilvl w:val="0"/>
          <w:numId w:val="2"/>
        </w:numPr>
        <w:spacing w:before="60" w:after="80"/>
      </w:pPr>
      <w:r>
        <w:rPr>
          <w:rFonts w:ascii="Arial" w:cs="Arial" w:eastAsia="Arial" w:hAnsi="Arial"/>
          <w:color w:val="334155"/>
          <w:sz w:val="24"/>
          <w:szCs w:val="24"/>
        </w:rPr>
        <w:t xml:space="preserve">Any support agreed</w:t>
      </w:r>
    </w:p>
    <w:p>
      <w:pPr>
        <w:pStyle w:val="ListParagraph"/>
        <w:numPr>
          <w:ilvl w:val="0"/>
          <w:numId w:val="2"/>
        </w:numPr>
        <w:spacing w:before="60" w:after="80"/>
      </w:pPr>
      <w:r>
        <w:rPr>
          <w:rFonts w:ascii="Arial" w:cs="Arial" w:eastAsia="Arial" w:hAnsi="Arial"/>
          <w:color w:val="334155"/>
          <w:sz w:val="24"/>
          <w:szCs w:val="24"/>
        </w:rPr>
        <w:t xml:space="preserve">Any action required by the supervisor</w:t>
      </w:r>
    </w:p>
    <w:p>
      <w:pPr>
        <w:pStyle w:val="ListParagraph"/>
        <w:numPr>
          <w:ilvl w:val="0"/>
          <w:numId w:val="2"/>
        </w:numPr>
        <w:spacing w:before="60" w:after="80"/>
      </w:pPr>
      <w:r>
        <w:rPr>
          <w:rFonts w:ascii="Arial" w:cs="Arial" w:eastAsia="Arial" w:hAnsi="Arial"/>
          <w:color w:val="334155"/>
          <w:sz w:val="24"/>
          <w:szCs w:val="24"/>
        </w:rPr>
        <w:t xml:space="preserve">Operative signature confirming the interview took place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signature matters</w:t>
            </w:r>
          </w:p>
          <w:p>
            <w:pPr>
              <w:spacing w:before="0" w:after="0"/>
            </w:pPr>
            <w:r>
              <w:rPr>
                <w:rFonts w:ascii="Arial" w:cs="Arial" w:eastAsia="Arial" w:hAnsi="Arial"/>
                <w:color w:val="334155"/>
                <w:sz w:val="24"/>
                <w:szCs w:val="24"/>
              </w:rPr>
              <w:t xml:space="preserve">An operative who disputes the existence of an RTW interview — because a formal process has subsequently been started — cannot do so if a signed record exists. The signature is not about distrust. It is about having an accurate record that both parties agree reflects what was discussed.</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What to do with the record</w:t>
      </w:r>
    </w:p>
    <w:p>
      <w:pPr>
        <w:spacing w:before="80" w:after="140"/>
      </w:pPr>
      <w:r>
        <w:rPr>
          <w:rFonts w:ascii="Arial" w:cs="Arial" w:eastAsia="Arial" w:hAnsi="Arial"/>
          <w:color w:val="334155"/>
          <w:sz w:val="24"/>
          <w:szCs w:val="24"/>
        </w:rPr>
        <w:t xml:space="preserve">The RTW interview record should be retained on the operative's personnel file. In most organisations, HR will have a standard form. If your organisation does not, a simple dated note signed by both parties is sufficient. The supervisor should keep a copy.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Using absence data</w:t>
      </w:r>
    </w:p>
    <w:p>
      <w:pPr>
        <w:spacing w:before="80" w:after="140"/>
      </w:pPr>
      <w:r>
        <w:rPr>
          <w:rFonts w:ascii="Arial" w:cs="Arial" w:eastAsia="Arial" w:hAnsi="Arial"/>
          <w:color w:val="334155"/>
          <w:sz w:val="24"/>
          <w:szCs w:val="24"/>
        </w:rPr>
        <w:t xml:space="preserve">The RTW interview generates valuable data. Across a team of ten operatives over a twelve-month period, the pattern of absence by operative, by reason and by timing tells the supervisor things about the team that nothing else does.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What to look for in the monthly data</w:t>
      </w:r>
    </w:p>
    <w:p>
      <w:pPr>
        <w:pStyle w:val="ListParagraph"/>
        <w:numPr>
          <w:ilvl w:val="0"/>
          <w:numId w:val="2"/>
        </w:numPr>
        <w:spacing w:before="60" w:after="80"/>
      </w:pPr>
      <w:r>
        <w:rPr>
          <w:rFonts w:ascii="Arial" w:cs="Arial" w:eastAsia="Arial" w:hAnsi="Arial"/>
          <w:color w:val="334155"/>
          <w:sz w:val="24"/>
          <w:szCs w:val="24"/>
        </w:rPr>
        <w:t xml:space="preserve">Which operative has the highest absence rate? Is this consistent or recent?</w:t>
      </w:r>
    </w:p>
    <w:p>
      <w:pPr>
        <w:pStyle w:val="ListParagraph"/>
        <w:numPr>
          <w:ilvl w:val="0"/>
          <w:numId w:val="2"/>
        </w:numPr>
        <w:spacing w:before="60" w:after="80"/>
      </w:pPr>
      <w:r>
        <w:rPr>
          <w:rFonts w:ascii="Arial" w:cs="Arial" w:eastAsia="Arial" w:hAnsi="Arial"/>
          <w:color w:val="334155"/>
          <w:sz w:val="24"/>
          <w:szCs w:val="24"/>
        </w:rPr>
        <w:t xml:space="preserve">Are absences clustering on particular days — Mondays, Fridays, the day after a bank holiday?</w:t>
      </w:r>
    </w:p>
    <w:p>
      <w:pPr>
        <w:pStyle w:val="ListParagraph"/>
        <w:numPr>
          <w:ilvl w:val="0"/>
          <w:numId w:val="2"/>
        </w:numPr>
        <w:spacing w:before="60" w:after="80"/>
      </w:pPr>
      <w:r>
        <w:rPr>
          <w:rFonts w:ascii="Arial" w:cs="Arial" w:eastAsia="Arial" w:hAnsi="Arial"/>
          <w:color w:val="334155"/>
          <w:sz w:val="24"/>
          <w:szCs w:val="24"/>
        </w:rPr>
        <w:t xml:space="preserve">Are any operatives citing the same reason code repeatedly? Repeated stress-related absence in the same operative warrants a welfare conversation separate from the RTW process.</w:t>
      </w:r>
    </w:p>
    <w:p>
      <w:pPr>
        <w:pStyle w:val="ListParagraph"/>
        <w:numPr>
          <w:ilvl w:val="0"/>
          <w:numId w:val="2"/>
        </w:numPr>
        <w:spacing w:before="60" w:after="80"/>
      </w:pPr>
      <w:r>
        <w:rPr>
          <w:rFonts w:ascii="Arial" w:cs="Arial" w:eastAsia="Arial" w:hAnsi="Arial"/>
          <w:color w:val="334155"/>
          <w:sz w:val="24"/>
          <w:szCs w:val="24"/>
        </w:rPr>
        <w:t xml:space="preserve">Is there a seasonal pattern? Some absence is predictable — winter illness, summer holidays managed as sick leave. Knowing the pattern helps the supervisor resource accordingly.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The Bradford Factor</w:t>
      </w:r>
    </w:p>
    <w:p>
      <w:pPr>
        <w:spacing w:before="80" w:after="140"/>
      </w:pPr>
      <w:r>
        <w:rPr>
          <w:rFonts w:ascii="Arial" w:cs="Arial" w:eastAsia="Arial" w:hAnsi="Arial"/>
          <w:color w:val="334155"/>
          <w:sz w:val="24"/>
          <w:szCs w:val="24"/>
        </w:rPr>
        <w:t xml:space="preserve">The Bradford Factor is a formula that weights frequent short absences more heavily than occasional longer ones, on the basis that frequent short absences are more disruptive to operational planning. The formula is: (number of absence spells) squared, multiplied by the total number of days absent.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An operative with three absences of two days each (Bradford score: 9 x 6 = 54) is scored higher than an operative with one absence of six days (Bradford score: 1 x 6 = 6), even though total days lost are the same. Most HR teams use Bradford Factor thresholds as trigger points for formal review. The supervisor should know what these thresholds are in their organisation and flag operatives who are approaching them.</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Bradford Factor is a tool, not a verdict</w:t>
            </w:r>
          </w:p>
          <w:p>
            <w:pPr>
              <w:spacing w:before="0" w:after="0"/>
            </w:pPr>
            <w:r>
              <w:rPr>
                <w:rFonts w:ascii="Arial" w:cs="Arial" w:eastAsia="Arial" w:hAnsi="Arial"/>
                <w:color w:val="334155"/>
                <w:sz w:val="24"/>
                <w:szCs w:val="24"/>
              </w:rPr>
              <w:t xml:space="preserve">The Bradford Factor identifies patterns worth investigating — it does not tell you why the pattern exists. An operative with a high Bradford score might be managing a chronic condition, caring for a sick relative, or gaming the system. The RTW interview is what tells you which.</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Return to Work Interviews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2026-03-20T22:18:46.895Z</dcterms:created>
  <dcterms:modified xsi:type="dcterms:W3CDTF">2026-03-20T22:18:46.897Z</dcterms:modified>
</cp:coreProperties>
</file>

<file path=docProps/custom.xml><?xml version="1.0" encoding="utf-8"?>
<Properties xmlns="http://schemas.openxmlformats.org/officeDocument/2006/custom-properties" xmlns:vt="http://schemas.openxmlformats.org/officeDocument/2006/docPropsVTypes"/>
</file>