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6"/>
                <w:szCs w:val="56"/>
              </w:rPr>
              <w:t xml:space="preserve">Managing Sickness Absence Patterns</w:t>
            </w:r>
          </w:p>
          <w:p>
            <w:pPr>
              <w:spacing w:before="0" w:after="320"/>
            </w:pPr>
            <w:r>
              <w:rPr>
                <w:rFonts w:ascii="Arial" w:cs="Arial" w:eastAsia="Arial" w:hAnsi="Arial"/>
                <w:color w:val="FBB024"/>
                <w:sz w:val="28"/>
                <w:szCs w:val="28"/>
              </w:rPr>
              <w:t xml:space="preserve">Bradford Factor, Trigger Points, Occupational Health and the Conversations That Matter</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High short-term absence is one of the most operationally damaging and most poorly managed problems in social housing maintenance. Most supervisors either ignore patterns until they become formal issues or respond inconsistently in ways that create grievances. This playbook covers the tools, the triggers and the conversations that make a genuine difference.</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The difference between absence and absence patterns</w:t>
      </w:r>
    </w:p>
    <w:p>
      <w:pPr>
        <w:spacing w:before="80" w:after="140"/>
      </w:pPr>
      <w:r>
        <w:rPr>
          <w:rFonts w:ascii="Arial" w:cs="Arial" w:eastAsia="Arial" w:hAnsi="Arial"/>
          <w:color w:val="334155"/>
          <w:sz w:val="24"/>
          <w:szCs w:val="24"/>
        </w:rPr>
        <w:t xml:space="preserve">Everyone is ill sometimes. The issue is not individual episodes of genuine sickness — it is the patterns that develop when absence is not actively managed. The supervisor's job is not to challenge every period of absence. It is to identify and address patterns before they become entrenched and to distinguish genuine illness from absence that has other causes.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return to work interview — covered in the Return to Work Interviews playbook — is the primary tool for managing absence consistently. This playbook focuses on what happens when the return to work interview reveals a pattern, and how to respond to different types of pattern differently.</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The Bradford Factor</w:t>
      </w:r>
    </w:p>
    <w:p>
      <w:pPr>
        <w:spacing w:before="80" w:after="140"/>
      </w:pPr>
      <w:r>
        <w:rPr>
          <w:rFonts w:ascii="Arial" w:cs="Arial" w:eastAsia="Arial" w:hAnsi="Arial"/>
          <w:color w:val="334155"/>
          <w:sz w:val="24"/>
          <w:szCs w:val="24"/>
        </w:rPr>
        <w:t xml:space="preserve">The Bradford Factor is a formula used by many organisations to measure the impact of short-term absence. It weights frequent short absences more heavily than single longer absences, on the basis that frequent short absences are more operationally disruptive and less likely to be genuine illness.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formula is: S² × D, where S is the number of separate absence spells in a rolling 52-week period and D is the total number of days absent in the same period.</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3400"/>
        <w:gridCol w:w="4238"/>
      </w:tblGrid>
      <w:tr>
        <w:trPr>
          <w:tblHeader/>
        </w:trPr>
        <w:tc>
          <w:tcPr>
            <w:tcW w:type="dxa" w:w="2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Bradford score</w:t>
            </w:r>
          </w:p>
        </w:tc>
        <w:tc>
          <w:tcPr>
            <w:tcW w:type="dxa" w:w="3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indicates</w:t>
            </w:r>
          </w:p>
        </w:tc>
        <w:tc>
          <w:tcPr>
            <w:tcW w:type="dxa" w:w="42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Typical response</w:t>
            </w:r>
          </w:p>
        </w:tc>
      </w:tr>
      <w:tr>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Under 50</w:t>
            </w:r>
          </w:p>
        </w:tc>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Normal absence level. No action required.</w:t>
            </w:r>
          </w:p>
        </w:tc>
        <w:tc>
          <w:tcPr>
            <w:tcW w:type="dxa" w:w="4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Standard return to work interviews.</w:t>
            </w:r>
          </w:p>
        </w:tc>
      </w:tr>
      <w:tr>
        <w:tc>
          <w:tcPr>
            <w:tcW w:type="dxa" w:w="2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51–200</w:t>
            </w:r>
          </w:p>
        </w:tc>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Elevated absence. Pattern worth monitoring.</w:t>
            </w:r>
          </w:p>
        </w:tc>
        <w:tc>
          <w:tcPr>
            <w:tcW w:type="dxa" w:w="4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Review in one-to-one. Increase attention on RTW quality.</w:t>
            </w:r>
          </w:p>
        </w:tc>
      </w:tr>
      <w:tr>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201–450</w:t>
            </w:r>
          </w:p>
        </w:tc>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High absence. Informal management required.</w:t>
            </w:r>
          </w:p>
        </w:tc>
        <w:tc>
          <w:tcPr>
            <w:tcW w:type="dxa" w:w="4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Absence review meeting. Clear improvement expectations. Possible OH referral.</w:t>
            </w:r>
          </w:p>
        </w:tc>
      </w:tr>
      <w:tr>
        <w:tc>
          <w:tcPr>
            <w:tcW w:type="dxa" w:w="2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451+</w:t>
            </w:r>
          </w:p>
        </w:tc>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Very high absence. Formal process likely required.</w:t>
            </w:r>
          </w:p>
        </w:tc>
        <w:tc>
          <w:tcPr>
            <w:tcW w:type="dxa" w:w="4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Formal absence review. HR involvement. Possible capability or attendance process.</w:t>
            </w:r>
          </w:p>
        </w:tc>
      </w:tr>
    </w:tbl>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Know your organisation's trigger thresholds</w:t>
            </w:r>
          </w:p>
          <w:p>
            <w:pPr>
              <w:spacing w:before="0" w:after="0"/>
            </w:pPr>
            <w:r>
              <w:rPr>
                <w:rFonts w:ascii="Arial" w:cs="Arial" w:eastAsia="Arial" w:hAnsi="Arial"/>
                <w:color w:val="334155"/>
                <w:sz w:val="24"/>
                <w:szCs w:val="24"/>
              </w:rPr>
              <w:t xml:space="preserve">The Bradford Factor scores above are indicative. Your organisation may use different thresholds. Know what they are before the conversation — and tell operatives what they are. An operative who understands how their absence is being measured is in a better position than one who finds out at a formal meeting.</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Pattern types and responses</w:t>
      </w:r>
    </w:p>
    <w:p>
      <w:pPr>
        <w:pStyle w:val="Heading2"/>
        <w:spacing w:before="280" w:after="120"/>
      </w:pPr>
      <w:r>
        <w:rPr>
          <w:rFonts w:ascii="Arial" w:cs="Arial" w:eastAsia="Arial" w:hAnsi="Arial"/>
          <w:b/>
          <w:bCs/>
          <w:color w:val="0E7490"/>
          <w:sz w:val="28"/>
          <w:szCs w:val="28"/>
        </w:rPr>
        <w:t xml:space="preserve">3.1  Monday/Friday pattern</w:t>
      </w:r>
    </w:p>
    <w:p>
      <w:pPr>
        <w:spacing w:before="80" w:after="140"/>
      </w:pPr>
      <w:r>
        <w:rPr>
          <w:rFonts w:ascii="Arial" w:cs="Arial" w:eastAsia="Arial" w:hAnsi="Arial"/>
          <w:color w:val="334155"/>
          <w:sz w:val="24"/>
          <w:szCs w:val="24"/>
        </w:rPr>
        <w:t xml:space="preserve">Absence concentrated on Mondays and Fridays is one of the clearest indicators of lifestyle-related absence. The response is direct but not accusatory.</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"I've noticed that your absences over the last few months have mostly been on Mondays and Fridays. I'm not suggesting there's anything deliberate about this, but I do need to flag it because it creates a pattern in the data that I can't ignore. Is there anything I should know about?"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Give the operative space to respond. If they have a genuine explanation — a recurring condition that affects them at the start and end of the week — that is useful information that may lead to an OH referral. If they do not, the conversation itself will often produce a change in behaviour.</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Absence following specific triggers</w:t>
      </w:r>
    </w:p>
    <w:p>
      <w:pPr>
        <w:spacing w:before="80" w:after="140"/>
      </w:pPr>
      <w:r>
        <w:rPr>
          <w:rFonts w:ascii="Arial" w:cs="Arial" w:eastAsia="Arial" w:hAnsi="Arial"/>
          <w:color w:val="334155"/>
          <w:sz w:val="24"/>
          <w:szCs w:val="24"/>
        </w:rPr>
        <w:t xml:space="preserve">Absence that follows performance conversations, difficult incidents or specific colleagues' shifts may indicate that absence is being used as avoidance. This requires careful handling — it is possible to over-interpret coincidences.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Do not raise the connection in a return to work interview unless you have a clear pattern. Document it in your own records. Raise it in a one-to-one once the pattern is established.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3.3  Frequent short absences below the self-certification threshold</w:t>
      </w:r>
    </w:p>
    <w:p>
      <w:pPr>
        <w:spacing w:before="80" w:after="140"/>
      </w:pPr>
      <w:r>
        <w:rPr>
          <w:rFonts w:ascii="Arial" w:cs="Arial" w:eastAsia="Arial" w:hAnsi="Arial"/>
          <w:color w:val="334155"/>
          <w:sz w:val="24"/>
          <w:szCs w:val="24"/>
        </w:rPr>
        <w:t xml:space="preserve">An operative who consistently takes one or two days at a time — always within the self-certification period, never long enough to require a fit note — may be managing their Bradford Factor consciously or may simply have a recurring genuine condition that never quite warrants GP attendance.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Both possibilities deserve investigation. An OH referral is appropriate when the cumulative impact of short absences is significant, even if no individual episode is medically serious.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3.4  Long-term sickness</w:t>
      </w:r>
    </w:p>
    <w:p>
      <w:pPr>
        <w:spacing w:before="80" w:after="140"/>
      </w:pPr>
      <w:r>
        <w:rPr>
          <w:rFonts w:ascii="Arial" w:cs="Arial" w:eastAsia="Arial" w:hAnsi="Arial"/>
          <w:color w:val="334155"/>
          <w:sz w:val="24"/>
          <w:szCs w:val="24"/>
        </w:rPr>
        <w:t xml:space="preserve">An operative absent for four weeks or more moves from the short-term absence management process into a different framework. The supervisor's role changes from challenge and monitoring to welfare support and reasonable adjustment planning.</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Maintain regular contact — usually weekly or fortnightly. Contact should be supportive and interested, not interrogative.</w:t>
      </w:r>
    </w:p>
    <w:p>
      <w:pPr>
        <w:pStyle w:val="ListParagraph"/>
        <w:numPr>
          <w:ilvl w:val="0"/>
          <w:numId w:val="2"/>
        </w:numPr>
        <w:spacing w:before="60" w:after="80"/>
      </w:pPr>
      <w:r>
        <w:rPr>
          <w:rFonts w:ascii="Arial" w:cs="Arial" w:eastAsia="Arial" w:hAnsi="Arial"/>
          <w:color w:val="334155"/>
          <w:sz w:val="24"/>
          <w:szCs w:val="24"/>
        </w:rPr>
        <w:t xml:space="preserve">Refer to occupational health at four weeks if not already done.</w:t>
      </w:r>
    </w:p>
    <w:p>
      <w:pPr>
        <w:pStyle w:val="ListParagraph"/>
        <w:numPr>
          <w:ilvl w:val="0"/>
          <w:numId w:val="2"/>
        </w:numPr>
        <w:spacing w:before="60" w:after="80"/>
      </w:pPr>
      <w:r>
        <w:rPr>
          <w:rFonts w:ascii="Arial" w:cs="Arial" w:eastAsia="Arial" w:hAnsi="Arial"/>
          <w:color w:val="334155"/>
          <w:sz w:val="24"/>
          <w:szCs w:val="24"/>
        </w:rPr>
        <w:t xml:space="preserve">Discuss phased return when recovery is approaching — what a return might look like, what adjustments might help.</w:t>
      </w:r>
    </w:p>
    <w:p>
      <w:pPr>
        <w:pStyle w:val="ListParagraph"/>
        <w:numPr>
          <w:ilvl w:val="0"/>
          <w:numId w:val="2"/>
        </w:numPr>
        <w:spacing w:before="60" w:after="80"/>
      </w:pPr>
      <w:r>
        <w:rPr>
          <w:rFonts w:ascii="Arial" w:cs="Arial" w:eastAsia="Arial" w:hAnsi="Arial"/>
          <w:color w:val="334155"/>
          <w:sz w:val="24"/>
          <w:szCs w:val="24"/>
        </w:rPr>
        <w:t xml:space="preserve">Keep HR informed throughout. Long-term absence has capability and potentially disability discrimination implications that require HR expertise.</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Occupational health — when and how to refer</w:t>
      </w:r>
    </w:p>
    <w:p>
      <w:pPr>
        <w:spacing w:before="80" w:after="140"/>
      </w:pPr>
      <w:r>
        <w:rPr>
          <w:rFonts w:ascii="Arial" w:cs="Arial" w:eastAsia="Arial" w:hAnsi="Arial"/>
          <w:color w:val="334155"/>
          <w:sz w:val="24"/>
          <w:szCs w:val="24"/>
        </w:rPr>
        <w:t xml:space="preserve">An occupational health referral is appropriate when: the supervisor needs an independent medical view on whether an operative is fit for work; when a condition may constitute a disability under the Equality Act; when an operative is returning from long-term sickness and adjustments may be needed; or when absence patterns suggest an underlying condition that has not been formally identified.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A referral is not a threat. Frame it as support: "I'd like to refer you to occupational health so that we can get a proper picture of how you're doing and make sure we're supporting you in the right way."</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The Equality Act 2010 — what supervisors need to know</w:t>
            </w:r>
          </w:p>
          <w:p>
            <w:pPr>
              <w:spacing w:before="0" w:after="0"/>
            </w:pPr>
            <w:r>
              <w:rPr>
                <w:rFonts w:ascii="Arial" w:cs="Arial" w:eastAsia="Arial" w:hAnsi="Arial"/>
                <w:color w:val="334155"/>
                <w:sz w:val="24"/>
                <w:szCs w:val="24"/>
              </w:rPr>
              <w:t xml:space="preserve">A condition that has a substantial and long-term effect on a person's ability to carry out day-to-day activities may be a disability under the Equality Act. Supervisors must not apply absence management processes in a way that disadvantages a disabled employee without considering reasonable adjustments. If in any doubt, involve HR before continuing with a formal absence process.</w:t>
            </w:r>
          </w:p>
        </w:tc>
      </w:tr>
    </w:tbl>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Quick reference</w:t>
      </w:r>
    </w:p>
    <w:p>
      <w:pPr>
        <w:pStyle w:val="Heading2"/>
        <w:spacing w:before="280" w:after="120"/>
      </w:pPr>
      <w:r>
        <w:rPr>
          <w:rFonts w:ascii="Arial" w:cs="Arial" w:eastAsia="Arial" w:hAnsi="Arial"/>
          <w:b/>
          <w:bCs/>
          <w:color w:val="0E7490"/>
          <w:sz w:val="28"/>
          <w:szCs w:val="28"/>
        </w:rPr>
        <w:t xml:space="preserve">Bradford Factor trigger points (typical thresholds)</w:t>
      </w:r>
    </w:p>
    <w:p>
      <w:pPr>
        <w:pStyle w:val="ListParagraph"/>
        <w:numPr>
          <w:ilvl w:val="0"/>
          <w:numId w:val="2"/>
        </w:numPr>
        <w:spacing w:before="60" w:after="80"/>
      </w:pPr>
      <w:r>
        <w:rPr>
          <w:rFonts w:ascii="Arial" w:cs="Arial" w:eastAsia="Arial" w:hAnsi="Arial"/>
          <w:color w:val="334155"/>
          <w:sz w:val="24"/>
          <w:szCs w:val="24"/>
        </w:rPr>
        <w:t xml:space="preserve">51–200: Monitor, quality RTW interviews</w:t>
      </w:r>
    </w:p>
    <w:p>
      <w:pPr>
        <w:pStyle w:val="ListParagraph"/>
        <w:numPr>
          <w:ilvl w:val="0"/>
          <w:numId w:val="2"/>
        </w:numPr>
        <w:spacing w:before="60" w:after="80"/>
      </w:pPr>
      <w:r>
        <w:rPr>
          <w:rFonts w:ascii="Arial" w:cs="Arial" w:eastAsia="Arial" w:hAnsi="Arial"/>
          <w:color w:val="334155"/>
          <w:sz w:val="24"/>
          <w:szCs w:val="24"/>
        </w:rPr>
        <w:t xml:space="preserve">201–450: Informal absence review, possible OH referral</w:t>
      </w:r>
    </w:p>
    <w:p>
      <w:pPr>
        <w:pStyle w:val="ListParagraph"/>
        <w:numPr>
          <w:ilvl w:val="0"/>
          <w:numId w:val="2"/>
        </w:numPr>
        <w:spacing w:before="60" w:after="80"/>
      </w:pPr>
      <w:r>
        <w:rPr>
          <w:rFonts w:ascii="Arial" w:cs="Arial" w:eastAsia="Arial" w:hAnsi="Arial"/>
          <w:color w:val="334155"/>
          <w:sz w:val="24"/>
          <w:szCs w:val="24"/>
        </w:rPr>
        <w:t xml:space="preserve">451+: Formal process, HR involvement</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Pattern types</w:t>
      </w:r>
    </w:p>
    <w:p>
      <w:pPr>
        <w:pStyle w:val="ListParagraph"/>
        <w:numPr>
          <w:ilvl w:val="0"/>
          <w:numId w:val="2"/>
        </w:numPr>
        <w:spacing w:before="60" w:after="80"/>
      </w:pPr>
      <w:r>
        <w:rPr>
          <w:rFonts w:ascii="Arial" w:cs="Arial" w:eastAsia="Arial" w:hAnsi="Arial"/>
          <w:color w:val="334155"/>
          <w:sz w:val="24"/>
          <w:szCs w:val="24"/>
        </w:rPr>
        <w:t xml:space="preserve">Monday/Friday: direct conversation, give space to explain</w:t>
      </w:r>
    </w:p>
    <w:p>
      <w:pPr>
        <w:pStyle w:val="ListParagraph"/>
        <w:numPr>
          <w:ilvl w:val="0"/>
          <w:numId w:val="2"/>
        </w:numPr>
        <w:spacing w:before="60" w:after="80"/>
      </w:pPr>
      <w:r>
        <w:rPr>
          <w:rFonts w:ascii="Arial" w:cs="Arial" w:eastAsia="Arial" w:hAnsi="Arial"/>
          <w:color w:val="334155"/>
          <w:sz w:val="24"/>
          <w:szCs w:val="24"/>
        </w:rPr>
        <w:t xml:space="preserve">Post-trigger: document, raise in one-to-one when pattern confirmed</w:t>
      </w:r>
    </w:p>
    <w:p>
      <w:pPr>
        <w:pStyle w:val="ListParagraph"/>
        <w:numPr>
          <w:ilvl w:val="0"/>
          <w:numId w:val="2"/>
        </w:numPr>
        <w:spacing w:before="60" w:after="80"/>
      </w:pPr>
      <w:r>
        <w:rPr>
          <w:rFonts w:ascii="Arial" w:cs="Arial" w:eastAsia="Arial" w:hAnsi="Arial"/>
          <w:color w:val="334155"/>
          <w:sz w:val="24"/>
          <w:szCs w:val="24"/>
        </w:rPr>
        <w:t xml:space="preserve">Frequent short: OH referral if cumulative impact is significant</w:t>
      </w:r>
    </w:p>
    <w:p>
      <w:pPr>
        <w:pStyle w:val="ListParagraph"/>
        <w:numPr>
          <w:ilvl w:val="0"/>
          <w:numId w:val="2"/>
        </w:numPr>
        <w:spacing w:before="60" w:after="80"/>
      </w:pPr>
      <w:r>
        <w:rPr>
          <w:rFonts w:ascii="Arial" w:cs="Arial" w:eastAsia="Arial" w:hAnsi="Arial"/>
          <w:color w:val="334155"/>
          <w:sz w:val="24"/>
          <w:szCs w:val="24"/>
        </w:rPr>
        <w:t xml:space="preserve">Long-term: weekly welfare contact, OH at four weeks, HR throughout</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OH referral — when</w:t>
      </w:r>
    </w:p>
    <w:p>
      <w:pPr>
        <w:pStyle w:val="ListParagraph"/>
        <w:numPr>
          <w:ilvl w:val="0"/>
          <w:numId w:val="2"/>
        </w:numPr>
        <w:spacing w:before="60" w:after="80"/>
      </w:pPr>
      <w:r>
        <w:rPr>
          <w:rFonts w:ascii="Arial" w:cs="Arial" w:eastAsia="Arial" w:hAnsi="Arial"/>
          <w:color w:val="334155"/>
          <w:sz w:val="24"/>
          <w:szCs w:val="24"/>
        </w:rPr>
        <w:t xml:space="preserve">Four weeks' absence or longer</w:t>
      </w:r>
    </w:p>
    <w:p>
      <w:pPr>
        <w:pStyle w:val="ListParagraph"/>
        <w:numPr>
          <w:ilvl w:val="0"/>
          <w:numId w:val="2"/>
        </w:numPr>
        <w:spacing w:before="60" w:after="80"/>
      </w:pPr>
      <w:r>
        <w:rPr>
          <w:rFonts w:ascii="Arial" w:cs="Arial" w:eastAsia="Arial" w:hAnsi="Arial"/>
          <w:color w:val="334155"/>
          <w:sz w:val="24"/>
          <w:szCs w:val="24"/>
        </w:rPr>
        <w:t xml:space="preserve">Pattern suggesting underlying condition</w:t>
      </w:r>
    </w:p>
    <w:p>
      <w:pPr>
        <w:pStyle w:val="ListParagraph"/>
        <w:numPr>
          <w:ilvl w:val="0"/>
          <w:numId w:val="2"/>
        </w:numPr>
        <w:spacing w:before="60" w:after="80"/>
      </w:pPr>
      <w:r>
        <w:rPr>
          <w:rFonts w:ascii="Arial" w:cs="Arial" w:eastAsia="Arial" w:hAnsi="Arial"/>
          <w:color w:val="334155"/>
          <w:sz w:val="24"/>
          <w:szCs w:val="24"/>
        </w:rPr>
        <w:t xml:space="preserve">Possible disability — Equality Act implications</w:t>
      </w:r>
    </w:p>
    <w:p>
      <w:pPr>
        <w:pStyle w:val="ListParagraph"/>
        <w:numPr>
          <w:ilvl w:val="0"/>
          <w:numId w:val="2"/>
        </w:numPr>
        <w:spacing w:before="60" w:after="80"/>
      </w:pPr>
      <w:r>
        <w:rPr>
          <w:rFonts w:ascii="Arial" w:cs="Arial" w:eastAsia="Arial" w:hAnsi="Arial"/>
          <w:color w:val="334155"/>
          <w:sz w:val="24"/>
          <w:szCs w:val="24"/>
        </w:rPr>
        <w:t xml:space="preserve">Returning from long-term absence — adjustment planning</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Absence that is not actively managed increases. That is not cynicism — it is what the data consistently shows across the sector. The supervisor who manages absence consistently, fairly and early will have lower rates than the supervisor who ignores patterns until they are unavoidable. The tools exist. Use them.</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Managing Sickness Absence Patterns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2026-03-23T16:46:24.931Z</dcterms:created>
  <dcterms:modified xsi:type="dcterms:W3CDTF">2026-03-23T16:46:24.931Z</dcterms:modified>
</cp:coreProperties>
</file>

<file path=docProps/custom.xml><?xml version="1.0" encoding="utf-8"?>
<Properties xmlns="http://schemas.openxmlformats.org/officeDocument/2006/custom-properties" xmlns:vt="http://schemas.openxmlformats.org/officeDocument/2006/docPropsVTypes"/>
</file>