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Managing the Difficult Conversation</w:t>
            </w:r>
          </w:p>
          <w:p>
            <w:pPr>
              <w:spacing w:before="0" w:after="320"/>
            </w:pPr>
            <w:r>
              <w:rPr>
                <w:rFonts w:ascii="Arial" w:cs="Arial" w:eastAsia="Arial" w:hAnsi="Arial"/>
                <w:color w:val="FBB024"/>
                <w:sz w:val="28"/>
                <w:szCs w:val="28"/>
              </w:rPr>
              <w:t xml:space="preserve">The Conversation Before the Formal Process — How to Do It, When to Do It and How to Make It Stick</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Most supervisors avoid difficult conversations for too long. When they finally have them, they are either too soft to produce change or so overdue that the conversation is already a formal one. This playbook covers the conversation in the middle — direct, honest and well-structured — that prevents situations from escalating.</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supervisors avoid the conversation</w:t>
      </w:r>
    </w:p>
    <w:p>
      <w:pPr>
        <w:spacing w:before="80" w:after="140"/>
      </w:pPr>
      <w:r>
        <w:rPr>
          <w:rFonts w:ascii="Arial" w:cs="Arial" w:eastAsia="Arial" w:hAnsi="Arial"/>
          <w:color w:val="334155"/>
          <w:sz w:val="24"/>
          <w:szCs w:val="24"/>
        </w:rPr>
        <w:t xml:space="preserve">The most common reason supervisors give for not having a difficult conversation is that they are not sure whether the issue is serious enough. The second most common reason is that they do not know how to have the conversation without it going wrong. The third is that they are worried about the operative's reaction.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All three of these are understandable. None of them are good enough reasons to avoid the conversation. The cost of avoidance is almost always higher than the cost of the conversation itself — in continued poor performance, in the signal it sends to the rest of the team that standards are not enforced, and in the difficulty of having the conversation later when the situation has deteriorated.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team is always watching</w:t>
            </w:r>
          </w:p>
          <w:p>
            <w:pPr>
              <w:spacing w:before="0" w:after="0"/>
            </w:pPr>
            <w:r>
              <w:rPr>
                <w:rFonts w:ascii="Arial" w:cs="Arial" w:eastAsia="Arial" w:hAnsi="Arial"/>
                <w:color w:val="334155"/>
                <w:sz w:val="24"/>
                <w:szCs w:val="24"/>
              </w:rPr>
              <w:t xml:space="preserve">When a supervisor fails to address a performance or conduct issue, every other member of the team notices. The message they receive is: the standard does not apply to everyone. That message is corrosive. The supervisor who has the difficult conversation promptly and fairly earns more respect from the team than the supervisor who avoids it.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counts as a difficult conversation</w:t>
      </w:r>
    </w:p>
    <w:p>
      <w:pPr>
        <w:spacing w:before="80" w:after="140"/>
      </w:pPr>
      <w:r>
        <w:rPr>
          <w:rFonts w:ascii="Arial" w:cs="Arial" w:eastAsia="Arial" w:hAnsi="Arial"/>
          <w:color w:val="334155"/>
          <w:sz w:val="24"/>
          <w:szCs w:val="24"/>
        </w:rPr>
        <w:t xml:space="preserve">A difficult conversation in a maintenance context is any conversation where the supervisor needs to address a gap between expected behaviour or performance and what is actually happening. This includes: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Quality of work — recurring callbacks, advisory grades on post-completion inspection, tenant complaints about finish</w:t>
      </w:r>
    </w:p>
    <w:p>
      <w:pPr>
        <w:pStyle w:val="ListParagraph"/>
        <w:numPr>
          <w:ilvl w:val="0"/>
          <w:numId w:val="2"/>
        </w:numPr>
        <w:spacing w:before="60" w:after="80"/>
      </w:pPr>
      <w:r>
        <w:rPr>
          <w:rFonts w:ascii="Arial" w:cs="Arial" w:eastAsia="Arial" w:hAnsi="Arial"/>
          <w:color w:val="334155"/>
          <w:sz w:val="24"/>
          <w:szCs w:val="24"/>
        </w:rPr>
        <w:t xml:space="preserve">Conduct — time-keeping, attitude towards tenants or colleagues, use of phone during working hours</w:t>
      </w:r>
    </w:p>
    <w:p>
      <w:pPr>
        <w:pStyle w:val="ListParagraph"/>
        <w:numPr>
          <w:ilvl w:val="0"/>
          <w:numId w:val="2"/>
        </w:numPr>
        <w:spacing w:before="60" w:after="80"/>
      </w:pPr>
      <w:r>
        <w:rPr>
          <w:rFonts w:ascii="Arial" w:cs="Arial" w:eastAsia="Arial" w:hAnsi="Arial"/>
          <w:color w:val="334155"/>
          <w:sz w:val="24"/>
          <w:szCs w:val="24"/>
        </w:rPr>
        <w:t xml:space="preserve">Attendance — a pattern of absence that has not yet reached a formal trigger but is causing operational problems</w:t>
      </w:r>
    </w:p>
    <w:p>
      <w:pPr>
        <w:pStyle w:val="ListParagraph"/>
        <w:numPr>
          <w:ilvl w:val="0"/>
          <w:numId w:val="2"/>
        </w:numPr>
        <w:spacing w:before="60" w:after="80"/>
      </w:pPr>
      <w:r>
        <w:rPr>
          <w:rFonts w:ascii="Arial" w:cs="Arial" w:eastAsia="Arial" w:hAnsi="Arial"/>
          <w:color w:val="334155"/>
          <w:sz w:val="24"/>
          <w:szCs w:val="24"/>
        </w:rPr>
        <w:t xml:space="preserve">Attitude — disengagement, passive resistance to instructions, undermining of other team members</w:t>
      </w:r>
    </w:p>
    <w:p>
      <w:pPr>
        <w:pStyle w:val="ListParagraph"/>
        <w:numPr>
          <w:ilvl w:val="0"/>
          <w:numId w:val="2"/>
        </w:numPr>
        <w:spacing w:before="60" w:after="80"/>
      </w:pPr>
      <w:r>
        <w:rPr>
          <w:rFonts w:ascii="Arial" w:cs="Arial" w:eastAsia="Arial" w:hAnsi="Arial"/>
          <w:color w:val="334155"/>
          <w:sz w:val="24"/>
          <w:szCs w:val="24"/>
        </w:rPr>
        <w:t xml:space="preserve">Specific incidents — a one-off event that needs to be addressed directly even if it does not represent a pattern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difficult conversation is not the same as a formal performance or disciplinary process. It is the conversation that happens before those processes — the intervention that aims to resolve the issue informally and avoid escalation. It requires a different approach: direct and honest, but not threatening or adversarial.</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structure that works</w:t>
      </w:r>
    </w:p>
    <w:p>
      <w:pPr>
        <w:spacing w:before="80" w:after="140"/>
      </w:pPr>
      <w:r>
        <w:rPr>
          <w:rFonts w:ascii="Arial" w:cs="Arial" w:eastAsia="Arial" w:hAnsi="Arial"/>
          <w:color w:val="334155"/>
          <w:sz w:val="24"/>
          <w:szCs w:val="24"/>
        </w:rPr>
        <w:t xml:space="preserve">A well-structured difficult conversation has five components. Each one matters. Skipping any of them tends to produce either an inconclusive conversation or an unnecessarily hostile one.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rPr>
          <w:tblHeader/>
        </w:trPr>
        <w:tc>
          <w:tcPr>
            <w:tcW w:type="dxa" w:w="1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Step</w:t>
            </w:r>
          </w:p>
        </w:tc>
        <w:tc>
          <w:tcPr>
            <w:tcW w:type="dxa" w:w="3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is</w:t>
            </w:r>
          </w:p>
        </w:tc>
        <w:tc>
          <w:tcPr>
            <w:tcW w:type="dxa" w:w="4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sounds like</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 Set the tone</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Private, calm, not rushed. Signal that this is a direct conversation, not a chat.</w:t>
            </w:r>
          </w:p>
        </w:tc>
        <w:tc>
          <w:tcPr>
            <w:tcW w:type="dxa" w:w="4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want to talk to you about something that's been concerning me. Can we find ten minutes somewhere private?'</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State the issue</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Specific and factual. What happened, when, what you observed. No generalisations.</w:t>
            </w:r>
          </w:p>
        </w:tc>
        <w:tc>
          <w:tcPr>
            <w:tcW w:type="dxa" w:w="4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'Over the last three weeks, I've had two callbacks on your plumbing jobs — [address] and [address] — both for the same issue. I want to understand what's happening.'</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Listen</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Give the operative space to respond. Do not interrupt. You may not have the full picture.</w:t>
            </w:r>
          </w:p>
        </w:tc>
        <w:tc>
          <w:tcPr>
            <w:tcW w:type="dxa" w:w="4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Silence. Wait. Do not fill the gap immediately.</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 Be direct about the expectation</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 not leave them guessing about what you need to change. Say it clearly.</w:t>
            </w:r>
          </w:p>
        </w:tc>
        <w:tc>
          <w:tcPr>
            <w:tcW w:type="dxa" w:w="4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need this to stop. The standard is [X]. I need you to meet that standard consistently from this point.'</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 Agree and close</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What is going to happen next? How will you both know if it's working?</w:t>
            </w:r>
          </w:p>
        </w:tc>
        <w:tc>
          <w:tcPr>
            <w:tcW w:type="dxa" w:w="4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'I'm going to keep a closer eye on your jobs over the next month. If there are further issues, we'll need a more formal conversation. I don't want it to get to that.'</w:t>
            </w:r>
          </w:p>
        </w:tc>
      </w:tr>
    </w:tbl>
    <w:p>
      <w:pPr>
        <w:spacing w:before="0" w:after="12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Specific situations</w:t>
      </w:r>
    </w:p>
    <w:p>
      <w:pPr>
        <w:pStyle w:val="Heading2"/>
        <w:spacing w:before="280" w:after="120"/>
      </w:pPr>
      <w:r>
        <w:rPr>
          <w:rFonts w:ascii="Arial" w:cs="Arial" w:eastAsia="Arial" w:hAnsi="Arial"/>
          <w:b/>
          <w:bCs/>
          <w:color w:val="0E7490"/>
          <w:sz w:val="28"/>
          <w:szCs w:val="28"/>
        </w:rPr>
        <w:t xml:space="preserve">4.1  The operative who becomes defensive or aggressive</w:t>
      </w:r>
    </w:p>
    <w:p>
      <w:pPr>
        <w:spacing w:before="80" w:after="140"/>
      </w:pPr>
      <w:r>
        <w:rPr>
          <w:rFonts w:ascii="Arial" w:cs="Arial" w:eastAsia="Arial" w:hAnsi="Arial"/>
          <w:color w:val="334155"/>
          <w:sz w:val="24"/>
          <w:szCs w:val="24"/>
        </w:rPr>
        <w:t xml:space="preserve">Some operatives respond to direct feedback with defensiveness, raised voices or accusations of victimisation. The supervisor's response to this is to stay calm, maintain the factual basis of the conversation and not escalate.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 understand you're frustrated. I'm not here to attack you — I'm here because I have a specific concern about [X] and I need to address it. Can we keep this calm and talk it through?"</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the operative continues to escalate, end the conversation: "I can see this isn't a good time. Let's pick this up tomorrow morning when we've both had time to think. I want to resolve this, but not like this." Document what happened.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The operative who denies or minimises</w:t>
      </w:r>
    </w:p>
    <w:p>
      <w:pPr>
        <w:spacing w:before="80" w:after="140"/>
      </w:pPr>
      <w:r>
        <w:rPr>
          <w:rFonts w:ascii="Arial" w:cs="Arial" w:eastAsia="Arial" w:hAnsi="Arial"/>
          <w:color w:val="334155"/>
          <w:sz w:val="24"/>
          <w:szCs w:val="24"/>
        </w:rPr>
        <w:t xml:space="preserve">When an operative disputes the facts or minimises the issue, return to the specific evidence. Do not get drawn into a general debate about whether there is a problem.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"I'm not saying this is a pattern across all your work. I'm saying that these two specific jobs had this specific issue, and I need to understand why and make sure it doesn't happen again."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The operative who is genuinely struggling</w:t>
      </w:r>
    </w:p>
    <w:p>
      <w:pPr>
        <w:spacing w:before="80" w:after="140"/>
      </w:pPr>
      <w:r>
        <w:rPr>
          <w:rFonts w:ascii="Arial" w:cs="Arial" w:eastAsia="Arial" w:hAnsi="Arial"/>
          <w:color w:val="334155"/>
          <w:sz w:val="24"/>
          <w:szCs w:val="24"/>
        </w:rPr>
        <w:t xml:space="preserve">Sometimes a direct conversation reveals that an operative is struggling — with the job, with a personal situation or with a skill gap they have not admitted. This changes the nature of the conversation from challenge to support.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an operative discloses something personal that may be affecting their performance, acknowledge it, thank them for telling you, and agree how you will support them. This does not mean the performance standard disappears — it means the approach to reaching it changes.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4.4  The operative who has a grievance about something else</w:t>
      </w:r>
    </w:p>
    <w:p>
      <w:pPr>
        <w:spacing w:before="80" w:after="140"/>
      </w:pPr>
      <w:r>
        <w:rPr>
          <w:rFonts w:ascii="Arial" w:cs="Arial" w:eastAsia="Arial" w:hAnsi="Arial"/>
          <w:color w:val="334155"/>
          <w:sz w:val="24"/>
          <w:szCs w:val="24"/>
        </w:rPr>
        <w:t xml:space="preserve">Occasionally a difficult conversation about performance reveals an underlying grievance — about perceived unfair treatment, about a colleague, about a management decision. The supervisor's job is to separate the two issues clearly.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 hear what you're saying about [the grievance] and I want to come back to that separately. But that's a separate conversation. Right now I need to address [the performance issue]."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Documentation</w:t>
      </w:r>
    </w:p>
    <w:p>
      <w:pPr>
        <w:spacing w:before="80" w:after="140"/>
      </w:pPr>
      <w:r>
        <w:rPr>
          <w:rFonts w:ascii="Arial" w:cs="Arial" w:eastAsia="Arial" w:hAnsi="Arial"/>
          <w:color w:val="334155"/>
          <w:sz w:val="24"/>
          <w:szCs w:val="24"/>
        </w:rPr>
        <w:t xml:space="preserve">The difficult conversation that is not documented did not happen. If the situation escalates to a formal process, the absence of any documented informal intervention weakens the organisation's position and leaves the supervisor exposed.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Documentation does not need to be lengthy. A brief note made the same day, recorded in the supervisor's log or the works management system, that states: date, what was discussed, what was agreed, the operative's response. That is sufficient.</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Do not show the operative the note — but do tell them you are keeping one</w:t>
            </w:r>
          </w:p>
          <w:p>
            <w:pPr>
              <w:spacing w:before="0" w:after="0"/>
            </w:pPr>
            <w:r>
              <w:rPr>
                <w:rFonts w:ascii="Arial" w:cs="Arial" w:eastAsia="Arial" w:hAnsi="Arial"/>
                <w:color w:val="334155"/>
                <w:sz w:val="24"/>
                <w:szCs w:val="24"/>
              </w:rPr>
              <w:t xml:space="preserve">The supervisor does not need to share their contemporaneous note with the operative. But it is good practice to say: "I'm going to make a brief note of what we've discussed today." This signals that the conversation is being taken seriously and removes any ambiguity about whether the expectation was communicated.</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The five-step structure</w:t>
      </w:r>
    </w:p>
    <w:p>
      <w:pPr>
        <w:pStyle w:val="ListParagraph"/>
        <w:numPr>
          <w:ilvl w:val="0"/>
          <w:numId w:val="3"/>
        </w:numPr>
        <w:spacing w:before="60" w:after="100"/>
      </w:pPr>
      <w:r>
        <w:rPr>
          <w:rFonts w:ascii="Arial" w:cs="Arial" w:eastAsia="Arial" w:hAnsi="Arial"/>
          <w:color w:val="334155"/>
          <w:sz w:val="24"/>
          <w:szCs w:val="24"/>
        </w:rPr>
        <w:t xml:space="preserve">Set the tone — private, calm, direct</w:t>
      </w:r>
    </w:p>
    <w:p>
      <w:pPr>
        <w:pStyle w:val="ListParagraph"/>
        <w:numPr>
          <w:ilvl w:val="0"/>
          <w:numId w:val="3"/>
        </w:numPr>
        <w:spacing w:before="60" w:after="100"/>
      </w:pPr>
      <w:r>
        <w:rPr>
          <w:rFonts w:ascii="Arial" w:cs="Arial" w:eastAsia="Arial" w:hAnsi="Arial"/>
          <w:color w:val="334155"/>
          <w:sz w:val="24"/>
          <w:szCs w:val="24"/>
        </w:rPr>
        <w:t xml:space="preserve">State the issue — specific, factual, no generalisations</w:t>
      </w:r>
    </w:p>
    <w:p>
      <w:pPr>
        <w:pStyle w:val="ListParagraph"/>
        <w:numPr>
          <w:ilvl w:val="0"/>
          <w:numId w:val="3"/>
        </w:numPr>
        <w:spacing w:before="60" w:after="100"/>
      </w:pPr>
      <w:r>
        <w:rPr>
          <w:rFonts w:ascii="Arial" w:cs="Arial" w:eastAsia="Arial" w:hAnsi="Arial"/>
          <w:color w:val="334155"/>
          <w:sz w:val="24"/>
          <w:szCs w:val="24"/>
        </w:rPr>
        <w:t xml:space="preserve">Listen — give space, do not fill the silence</w:t>
      </w:r>
    </w:p>
    <w:p>
      <w:pPr>
        <w:pStyle w:val="ListParagraph"/>
        <w:numPr>
          <w:ilvl w:val="0"/>
          <w:numId w:val="3"/>
        </w:numPr>
        <w:spacing w:before="60" w:after="100"/>
      </w:pPr>
      <w:r>
        <w:rPr>
          <w:rFonts w:ascii="Arial" w:cs="Arial" w:eastAsia="Arial" w:hAnsi="Arial"/>
          <w:color w:val="334155"/>
          <w:sz w:val="24"/>
          <w:szCs w:val="24"/>
        </w:rPr>
        <w:t xml:space="preserve">Be direct about the expectation — say it clearly</w:t>
      </w:r>
    </w:p>
    <w:p>
      <w:pPr>
        <w:pStyle w:val="ListParagraph"/>
        <w:numPr>
          <w:ilvl w:val="0"/>
          <w:numId w:val="3"/>
        </w:numPr>
        <w:spacing w:before="60" w:after="100"/>
      </w:pPr>
      <w:r>
        <w:rPr>
          <w:rFonts w:ascii="Arial" w:cs="Arial" w:eastAsia="Arial" w:hAnsi="Arial"/>
          <w:color w:val="334155"/>
          <w:sz w:val="24"/>
          <w:szCs w:val="24"/>
        </w:rPr>
        <w:t xml:space="preserve">Agree and close — what happens next, what changes</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Key phrases</w:t>
      </w:r>
    </w:p>
    <w:p>
      <w:pPr>
        <w:pStyle w:val="ListParagraph"/>
        <w:numPr>
          <w:ilvl w:val="0"/>
          <w:numId w:val="2"/>
        </w:numPr>
        <w:spacing w:before="60" w:after="80"/>
      </w:pPr>
      <w:r>
        <w:rPr>
          <w:rFonts w:ascii="Arial" w:cs="Arial" w:eastAsia="Arial" w:hAnsi="Arial"/>
          <w:color w:val="334155"/>
          <w:sz w:val="24"/>
          <w:szCs w:val="24"/>
        </w:rPr>
        <w:t xml:space="preserve">"I have a specific concern about [X]."</w:t>
      </w:r>
    </w:p>
    <w:p>
      <w:pPr>
        <w:pStyle w:val="ListParagraph"/>
        <w:numPr>
          <w:ilvl w:val="0"/>
          <w:numId w:val="2"/>
        </w:numPr>
        <w:spacing w:before="60" w:after="80"/>
      </w:pPr>
      <w:r>
        <w:rPr>
          <w:rFonts w:ascii="Arial" w:cs="Arial" w:eastAsia="Arial" w:hAnsi="Arial"/>
          <w:color w:val="334155"/>
          <w:sz w:val="24"/>
          <w:szCs w:val="24"/>
        </w:rPr>
        <w:t xml:space="preserve">"The standard is [X]. I need you to meet it consistently."</w:t>
      </w:r>
    </w:p>
    <w:p>
      <w:pPr>
        <w:pStyle w:val="ListParagraph"/>
        <w:numPr>
          <w:ilvl w:val="0"/>
          <w:numId w:val="2"/>
        </w:numPr>
        <w:spacing w:before="60" w:after="80"/>
      </w:pPr>
      <w:r>
        <w:rPr>
          <w:rFonts w:ascii="Arial" w:cs="Arial" w:eastAsia="Arial" w:hAnsi="Arial"/>
          <w:color w:val="334155"/>
          <w:sz w:val="24"/>
          <w:szCs w:val="24"/>
        </w:rPr>
        <w:t xml:space="preserve">"I'm going to keep a closer eye on this over the next [period]."</w:t>
      </w:r>
    </w:p>
    <w:p>
      <w:pPr>
        <w:pStyle w:val="ListParagraph"/>
        <w:numPr>
          <w:ilvl w:val="0"/>
          <w:numId w:val="2"/>
        </w:numPr>
        <w:spacing w:before="60" w:after="80"/>
      </w:pPr>
      <w:r>
        <w:rPr>
          <w:rFonts w:ascii="Arial" w:cs="Arial" w:eastAsia="Arial" w:hAnsi="Arial"/>
          <w:color w:val="334155"/>
          <w:sz w:val="24"/>
          <w:szCs w:val="24"/>
        </w:rPr>
        <w:t xml:space="preserve">"If this continues, we'll need a more formal conversation."</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The supervisor who has difficult conversations early, fairly and directly will have fewer formal processes to manage. The supervisor who avoids them will have more. That is the only trade-off that matters.</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the Difficult Conversation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2026-03-23T16:46:24.727Z</dcterms:created>
  <dcterms:modified xsi:type="dcterms:W3CDTF">2026-03-23T16:46:24.727Z</dcterms:modified>
</cp:coreProperties>
</file>

<file path=docProps/custom.xml><?xml version="1.0" encoding="utf-8"?>
<Properties xmlns="http://schemas.openxmlformats.org/officeDocument/2006/custom-properties" xmlns:vt="http://schemas.openxmlformats.org/officeDocument/2006/docPropsVTypes"/>
</file>