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4"/>
                <w:szCs w:val="54"/>
              </w:rPr>
              <w:t xml:space="preserve">Making the Case to Your Manager</w:t>
            </w:r>
          </w:p>
          <w:p>
            <w:pPr>
              <w:spacing w:before="0" w:after="320"/>
            </w:pPr>
            <w:r>
              <w:rPr>
                <w:rFonts w:ascii="Arial" w:cs="Arial" w:eastAsia="Arial" w:hAnsi="Arial"/>
                <w:color w:val="FBB024"/>
                <w:sz w:val="27"/>
                <w:szCs w:val="27"/>
              </w:rPr>
              <w:t xml:space="preserve">How to Escalate Problems Effectively, Use Data to Persuade and Get the Decisions You Need</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Leadership &amp; Culture Series  ·  socialhousing.ai</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The supervisor who can identify a problem, build a case and present it persuasively to their manager is one of the most operationally valuable people in any DLO. The supervisor who raises problems as complaints, without evidence or solution, gets ignored. This playbook is about the difference between the two — how to escalate upward in a way that produces decisions and resources rather than sympathetic nods.</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upward communication is a skill, not just a personality trait</w:t>
      </w:r>
    </w:p>
    <w:p>
      <w:pPr>
        <w:spacing w:before="80" w:after="140"/>
      </w:pPr>
      <w:r>
        <w:rPr>
          <w:rFonts w:ascii="Arial" w:cs="Arial" w:eastAsia="Arial" w:hAnsi="Arial"/>
          <w:color w:val="334155"/>
          <w:sz w:val="24"/>
          <w:szCs w:val="24"/>
        </w:rPr>
        <w:t xml:space="preserve">Most supervisors are promoted because of their operational competence — their ability to manage operatives, solve on-site problems and deliver quality work. Upward communication — articulating problems to management in a way that produces decisions — is a different skill and one that is rarely developed explicitly.</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consequence is that operationally excellent supervisors carry problems they should be escalating, work around resource constraints they should be challenging and miss opportunities for investment that would improve their team's performance — all because they do not know how to make the case effectively. This playbook changes that.</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Your manager cannot solve a problem they don't know exists</w:t>
            </w:r>
          </w:p>
          <w:p>
            <w:pPr>
              <w:spacing w:before="0" w:after="0"/>
            </w:pPr>
            <w:r>
              <w:rPr>
                <w:rFonts w:ascii="Arial" w:cs="Arial" w:eastAsia="Arial" w:hAnsi="Arial"/>
                <w:color w:val="334155"/>
                <w:sz w:val="24"/>
                <w:szCs w:val="24"/>
              </w:rPr>
              <w:t xml:space="preserve">The supervisor who absorbs every problem and never escalates is not being resilient — they are being invisible. Problems that stay at supervisor level grow. Problems that are escalated with evidence and a proposed solution get resolved. The discipline of making the case is what connects your operational knowledge to the management decisions that could change things.</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The anatomy of a good case</w:t>
      </w:r>
    </w:p>
    <w:p>
      <w:pPr>
        <w:spacing w:before="80" w:after="140"/>
      </w:pPr>
      <w:r>
        <w:rPr>
          <w:rFonts w:ascii="Arial" w:cs="Arial" w:eastAsia="Arial" w:hAnsi="Arial"/>
          <w:color w:val="334155"/>
          <w:sz w:val="24"/>
          <w:szCs w:val="24"/>
        </w:rPr>
        <w:t xml:space="preserve">A good case to a manager has four components. Miss any of them and the case loses persuasive force.</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5438"/>
      </w:tblGrid>
      <w:tr>
        <w:trPr>
          <w:tblHeader/>
        </w:trPr>
        <w:tc>
          <w:tcPr>
            <w:tcW w:type="dxa" w:w="16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Component</w:t>
            </w:r>
          </w:p>
        </w:tc>
        <w:tc>
          <w:tcPr>
            <w:tcW w:type="dxa" w:w="26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is</w:t>
            </w:r>
          </w:p>
        </w:tc>
        <w:tc>
          <w:tcPr>
            <w:tcW w:type="dxa" w:w="54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Why it matters</w:t>
            </w:r>
          </w:p>
        </w:tc>
      </w:tr>
      <w:tr>
        <w:tc>
          <w:tcPr>
            <w:tcW w:type="dxa" w:w="1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problem</w:t>
            </w:r>
          </w:p>
        </w:tc>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 specific, factual description of what is happening and its operational impact.</w:t>
            </w:r>
          </w:p>
        </w:tc>
        <w:tc>
          <w:tcPr>
            <w:tcW w:type="dxa" w:w="5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Vague complaints get vague responses. A specific problem with a measurable impact gets a specific response.</w:t>
            </w:r>
          </w:p>
        </w:tc>
      </w:tr>
      <w:tr>
        <w:tc>
          <w:tcPr>
            <w:tcW w:type="dxa" w:w="1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evidence</w:t>
            </w:r>
          </w:p>
        </w:tc>
        <w:tc>
          <w:tcPr>
            <w:tcW w:type="dxa" w:w="2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Data that demonstrates the scale and pattern of the problem.</w:t>
            </w:r>
          </w:p>
        </w:tc>
        <w:tc>
          <w:tcPr>
            <w:tcW w:type="dxa" w:w="5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Evidence transforms a complaint into a case. Without it, the manager is being asked to act on your word alone.</w:t>
            </w:r>
          </w:p>
        </w:tc>
      </w:tr>
      <w:tr>
        <w:tc>
          <w:tcPr>
            <w:tcW w:type="dxa" w:w="1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cost</w:t>
            </w:r>
          </w:p>
        </w:tc>
        <w:tc>
          <w:tcPr>
            <w:tcW w:type="dxa" w:w="2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What the problem is costing in operational terms — abortive visits, recalls, overtime, SLA breaches, tenant complaints.</w:t>
            </w:r>
          </w:p>
        </w:tc>
        <w:tc>
          <w:tcPr>
            <w:tcW w:type="dxa" w:w="5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Managers make decisions based on cost and risk. Connecting the problem to cost makes it a management priority.</w:t>
            </w:r>
          </w:p>
        </w:tc>
      </w:tr>
      <w:tr>
        <w:tc>
          <w:tcPr>
            <w:tcW w:type="dxa" w:w="1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ask</w:t>
            </w:r>
          </w:p>
        </w:tc>
        <w:tc>
          <w:tcPr>
            <w:tcW w:type="dxa" w:w="2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 specific request — for a decision, a resource, an authority or an intervention.</w:t>
            </w:r>
          </w:p>
        </w:tc>
        <w:tc>
          <w:tcPr>
            <w:tcW w:type="dxa" w:w="5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 case without an ask is a complaint. A case with a specific, reasonable ask is a proposal.</w:t>
            </w:r>
          </w:p>
        </w:tc>
      </w:tr>
    </w:tbl>
    <w:p>
      <w:pPr>
        <w:spacing w:before="0" w:after="12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Using data to make the case</w:t>
      </w:r>
    </w:p>
    <w:p>
      <w:pPr>
        <w:spacing w:before="80" w:after="140"/>
      </w:pPr>
      <w:r>
        <w:rPr>
          <w:rFonts w:ascii="Arial" w:cs="Arial" w:eastAsia="Arial" w:hAnsi="Arial"/>
          <w:color w:val="334155"/>
          <w:sz w:val="24"/>
          <w:szCs w:val="24"/>
        </w:rPr>
        <w:t xml:space="preserve">Data is the most persuasive element of any case to management. Not raw numbers — a context-free number means nothing — but data that tells a story about a problem, its scale and its trajectory.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Making data persuasive</w:t>
      </w:r>
    </w:p>
    <w:p>
      <w:pPr>
        <w:pStyle w:val="ListParagraph"/>
        <w:numPr>
          <w:ilvl w:val="0"/>
          <w:numId w:val="2"/>
        </w:numPr>
        <w:spacing w:before="60" w:after="80"/>
      </w:pPr>
      <w:r>
        <w:rPr>
          <w:rFonts w:ascii="Arial" w:cs="Arial" w:eastAsia="Arial" w:hAnsi="Arial"/>
          <w:color w:val="334155"/>
          <w:sz w:val="24"/>
          <w:szCs w:val="24"/>
        </w:rPr>
        <w:t xml:space="preserve">Show the trend, not just the current figure. A first-time fix rate of 72% is concerning. A first-time fix rate that has dropped from 84% to 72% over six weeks is a crisis.</w:t>
      </w:r>
    </w:p>
    <w:p>
      <w:pPr>
        <w:pStyle w:val="ListParagraph"/>
        <w:numPr>
          <w:ilvl w:val="0"/>
          <w:numId w:val="2"/>
        </w:numPr>
        <w:spacing w:before="60" w:after="80"/>
      </w:pPr>
      <w:r>
        <w:rPr>
          <w:rFonts w:ascii="Arial" w:cs="Arial" w:eastAsia="Arial" w:hAnsi="Arial"/>
          <w:color w:val="334155"/>
          <w:sz w:val="24"/>
          <w:szCs w:val="24"/>
        </w:rPr>
        <w:t xml:space="preserve">Benchmark where you can. A 12% abortive visit rate sounds abstract. A 12% rate against a sector benchmark of 8% is a specific gap.</w:t>
      </w:r>
    </w:p>
    <w:p>
      <w:pPr>
        <w:pStyle w:val="ListParagraph"/>
        <w:numPr>
          <w:ilvl w:val="0"/>
          <w:numId w:val="2"/>
        </w:numPr>
        <w:spacing w:before="60" w:after="80"/>
      </w:pPr>
      <w:r>
        <w:rPr>
          <w:rFonts w:ascii="Arial" w:cs="Arial" w:eastAsia="Arial" w:hAnsi="Arial"/>
          <w:color w:val="334155"/>
          <w:sz w:val="24"/>
          <w:szCs w:val="24"/>
        </w:rPr>
        <w:t xml:space="preserve">Connect the metric to the cost. Five additional abortive visits per week at £104 each is £520 per week or £27,040 per year. That is a number a manager can act on.</w:t>
      </w:r>
    </w:p>
    <w:p>
      <w:pPr>
        <w:pStyle w:val="ListParagraph"/>
        <w:numPr>
          <w:ilvl w:val="0"/>
          <w:numId w:val="2"/>
        </w:numPr>
        <w:spacing w:before="60" w:after="80"/>
      </w:pPr>
      <w:r>
        <w:rPr>
          <w:rFonts w:ascii="Arial" w:cs="Arial" w:eastAsia="Arial" w:hAnsi="Arial"/>
          <w:color w:val="334155"/>
          <w:sz w:val="24"/>
          <w:szCs w:val="24"/>
        </w:rPr>
        <w:t xml:space="preserve">Identify the cause, not just the symptom. A rising callback rate caused by materials quality is a different case from one caused by operative skill gaps. The cause determines the ask.</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Timing and framing the conversation</w:t>
      </w:r>
    </w:p>
    <w:p>
      <w:pPr>
        <w:spacing w:before="80" w:after="140"/>
      </w:pPr>
      <w:r>
        <w:rPr>
          <w:rFonts w:ascii="Arial" w:cs="Arial" w:eastAsia="Arial" w:hAnsi="Arial"/>
          <w:color w:val="334155"/>
          <w:sz w:val="24"/>
          <w:szCs w:val="24"/>
        </w:rPr>
        <w:t xml:space="preserve">When you escalate a problem matters as much as what you say. A manager confronted with an operational crisis in real time is in reactive mode — focused on the immediate, not the systemic. The most effective case is made before the crisis, when the manager has time to consider the evidence and make a deliberate decision.</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Use one-to-ones and structured updates to surface emerging problems before they become acute</w:t>
      </w:r>
    </w:p>
    <w:p>
      <w:pPr>
        <w:pStyle w:val="ListParagraph"/>
        <w:numPr>
          <w:ilvl w:val="0"/>
          <w:numId w:val="2"/>
        </w:numPr>
        <w:spacing w:before="60" w:after="80"/>
      </w:pPr>
      <w:r>
        <w:rPr>
          <w:rFonts w:ascii="Arial" w:cs="Arial" w:eastAsia="Arial" w:hAnsi="Arial"/>
          <w:color w:val="334155"/>
          <w:sz w:val="24"/>
          <w:szCs w:val="24"/>
        </w:rPr>
        <w:t xml:space="preserve">Frame the issue as something you have identified and are bringing proactively — not something that has spiralled out of control</w:t>
      </w:r>
    </w:p>
    <w:p>
      <w:pPr>
        <w:pStyle w:val="ListParagraph"/>
        <w:numPr>
          <w:ilvl w:val="0"/>
          <w:numId w:val="2"/>
        </w:numPr>
        <w:spacing w:before="60" w:after="80"/>
      </w:pPr>
      <w:r>
        <w:rPr>
          <w:rFonts w:ascii="Arial" w:cs="Arial" w:eastAsia="Arial" w:hAnsi="Arial"/>
          <w:color w:val="334155"/>
          <w:sz w:val="24"/>
          <w:szCs w:val="24"/>
        </w:rPr>
        <w:t xml:space="preserve">Choose the right moment — not when the manager is rushing out of the door or managing their own crisis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Language that works</w:t>
      </w:r>
    </w:p>
    <w:p>
      <w:pPr>
        <w:spacing w:before="80" w:after="140"/>
      </w:pPr>
      <w:r>
        <w:rPr>
          <w:rFonts w:ascii="Arial" w:cs="Arial" w:eastAsia="Arial" w:hAnsi="Arial"/>
          <w:color w:val="334155"/>
          <w:sz w:val="24"/>
          <w:szCs w:val="24"/>
        </w:rPr>
        <w:t xml:space="preserve">"I've identified a pattern that I think needs a management decision, and I'd like to talk it through. I have the data with me."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"I've been tracking this for [period] and I'm now confident it's a systemic issue rather than a one-off. Here's what I'm seeing."</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 can manage this at supervisor level up to a point. What I can't do without your support is [specific thing]. I'd like to propose [specific solution]."</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When the case does not get the response you need</w:t>
      </w:r>
    </w:p>
    <w:p>
      <w:pPr>
        <w:spacing w:before="80" w:after="140"/>
      </w:pPr>
      <w:r>
        <w:rPr>
          <w:rFonts w:ascii="Arial" w:cs="Arial" w:eastAsia="Arial" w:hAnsi="Arial"/>
          <w:color w:val="334155"/>
          <w:sz w:val="24"/>
          <w:szCs w:val="24"/>
        </w:rPr>
        <w:t xml:space="preserve">Sometimes a well-evidenced case does not produce the decision or resource you are asking for. This can be for legitimate reasons — competing priorities, budget constraints, a decision that has already been made — or for less legitimate ones. In either case, the supervisor's response is professional and persistent.</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Ask for the reasoning — understanding why the case was declined helps you refine it or accept it</w:t>
      </w:r>
    </w:p>
    <w:p>
      <w:pPr>
        <w:pStyle w:val="ListParagraph"/>
        <w:numPr>
          <w:ilvl w:val="0"/>
          <w:numId w:val="2"/>
        </w:numPr>
        <w:spacing w:before="60" w:after="80"/>
      </w:pPr>
      <w:r>
        <w:rPr>
          <w:rFonts w:ascii="Arial" w:cs="Arial" w:eastAsia="Arial" w:hAnsi="Arial"/>
          <w:color w:val="334155"/>
          <w:sz w:val="24"/>
          <w:szCs w:val="24"/>
        </w:rPr>
        <w:t xml:space="preserve">Clarify the risk — if the problem persists and the manager has declined to act, make the risk explicit: "I want to make sure you're aware that if we don't address this, we're likely to see [specific consequence]."</w:t>
      </w:r>
    </w:p>
    <w:p>
      <w:pPr>
        <w:pStyle w:val="ListParagraph"/>
        <w:numPr>
          <w:ilvl w:val="0"/>
          <w:numId w:val="2"/>
        </w:numPr>
        <w:spacing w:before="60" w:after="80"/>
      </w:pPr>
      <w:r>
        <w:rPr>
          <w:rFonts w:ascii="Arial" w:cs="Arial" w:eastAsia="Arial" w:hAnsi="Arial"/>
          <w:color w:val="334155"/>
          <w:sz w:val="24"/>
          <w:szCs w:val="24"/>
        </w:rPr>
        <w:t xml:space="preserve">Document that you escalated — a supervisor who raised a problem and was not supported has a different accountability position from one who absorbed the problem silently</w:t>
      </w:r>
    </w:p>
    <w:p>
      <w:pPr>
        <w:pStyle w:val="ListParagraph"/>
        <w:numPr>
          <w:ilvl w:val="0"/>
          <w:numId w:val="2"/>
        </w:numPr>
        <w:spacing w:before="60" w:after="80"/>
      </w:pPr>
      <w:r>
        <w:rPr>
          <w:rFonts w:ascii="Arial" w:cs="Arial" w:eastAsia="Arial" w:hAnsi="Arial"/>
          <w:color w:val="334155"/>
          <w:sz w:val="24"/>
          <w:szCs w:val="24"/>
        </w:rPr>
        <w:t xml:space="preserve">Try a different route if appropriate — sometimes a peer manager or a different framing opens a door that the direct route did not</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Quick reference</w:t>
      </w:r>
    </w:p>
    <w:p>
      <w:pPr>
        <w:pStyle w:val="Heading2"/>
        <w:spacing w:before="280" w:after="120"/>
      </w:pPr>
      <w:r>
        <w:rPr>
          <w:rFonts w:ascii="Arial" w:cs="Arial" w:eastAsia="Arial" w:hAnsi="Arial"/>
          <w:b/>
          <w:bCs/>
          <w:color w:val="0E7490"/>
          <w:sz w:val="28"/>
          <w:szCs w:val="28"/>
        </w:rPr>
        <w:t xml:space="preserve">The four components of a good case</w:t>
      </w:r>
    </w:p>
    <w:p>
      <w:pPr>
        <w:pStyle w:val="ListParagraph"/>
        <w:numPr>
          <w:ilvl w:val="0"/>
          <w:numId w:val="3"/>
        </w:numPr>
        <w:spacing w:before="60" w:after="100"/>
      </w:pPr>
      <w:r>
        <w:rPr>
          <w:rFonts w:ascii="Arial" w:cs="Arial" w:eastAsia="Arial" w:hAnsi="Arial"/>
          <w:color w:val="334155"/>
          <w:sz w:val="24"/>
          <w:szCs w:val="24"/>
        </w:rPr>
        <w:t xml:space="preserve">The problem — specific, factual, with operational impact</w:t>
      </w:r>
    </w:p>
    <w:p>
      <w:pPr>
        <w:pStyle w:val="ListParagraph"/>
        <w:numPr>
          <w:ilvl w:val="0"/>
          <w:numId w:val="3"/>
        </w:numPr>
        <w:spacing w:before="60" w:after="100"/>
      </w:pPr>
      <w:r>
        <w:rPr>
          <w:rFonts w:ascii="Arial" w:cs="Arial" w:eastAsia="Arial" w:hAnsi="Arial"/>
          <w:color w:val="334155"/>
          <w:sz w:val="24"/>
          <w:szCs w:val="24"/>
        </w:rPr>
        <w:t xml:space="preserve">The evidence — data with trend, benchmark and context</w:t>
      </w:r>
    </w:p>
    <w:p>
      <w:pPr>
        <w:pStyle w:val="ListParagraph"/>
        <w:numPr>
          <w:ilvl w:val="0"/>
          <w:numId w:val="3"/>
        </w:numPr>
        <w:spacing w:before="60" w:after="100"/>
      </w:pPr>
      <w:r>
        <w:rPr>
          <w:rFonts w:ascii="Arial" w:cs="Arial" w:eastAsia="Arial" w:hAnsi="Arial"/>
          <w:color w:val="334155"/>
          <w:sz w:val="24"/>
          <w:szCs w:val="24"/>
        </w:rPr>
        <w:t xml:space="preserve">The cost — what it is costing in operational terms</w:t>
      </w:r>
    </w:p>
    <w:p>
      <w:pPr>
        <w:pStyle w:val="ListParagraph"/>
        <w:numPr>
          <w:ilvl w:val="0"/>
          <w:numId w:val="3"/>
        </w:numPr>
        <w:spacing w:before="60" w:after="100"/>
      </w:pPr>
      <w:r>
        <w:rPr>
          <w:rFonts w:ascii="Arial" w:cs="Arial" w:eastAsia="Arial" w:hAnsi="Arial"/>
          <w:color w:val="334155"/>
          <w:sz w:val="24"/>
          <w:szCs w:val="24"/>
        </w:rPr>
        <w:t xml:space="preserve">The ask — specific, reasonable, decision-ready</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Making data persuasive</w:t>
      </w:r>
    </w:p>
    <w:p>
      <w:pPr>
        <w:pStyle w:val="ListParagraph"/>
        <w:numPr>
          <w:ilvl w:val="0"/>
          <w:numId w:val="2"/>
        </w:numPr>
        <w:spacing w:before="60" w:after="80"/>
      </w:pPr>
      <w:r>
        <w:rPr>
          <w:rFonts w:ascii="Arial" w:cs="Arial" w:eastAsia="Arial" w:hAnsi="Arial"/>
          <w:color w:val="334155"/>
          <w:sz w:val="24"/>
          <w:szCs w:val="24"/>
        </w:rPr>
        <w:t xml:space="preserve">Show the trend · Benchmark it · Connect to cost · Identify the cause</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When the case is declined</w:t>
      </w:r>
    </w:p>
    <w:p>
      <w:pPr>
        <w:pStyle w:val="ListParagraph"/>
        <w:numPr>
          <w:ilvl w:val="0"/>
          <w:numId w:val="2"/>
        </w:numPr>
        <w:spacing w:before="60" w:after="80"/>
      </w:pPr>
      <w:r>
        <w:rPr>
          <w:rFonts w:ascii="Arial" w:cs="Arial" w:eastAsia="Arial" w:hAnsi="Arial"/>
          <w:color w:val="334155"/>
          <w:sz w:val="24"/>
          <w:szCs w:val="24"/>
        </w:rPr>
        <w:t xml:space="preserve">Ask for the reasoning · Clarify the risk · Document that you escalated</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 — and a note on this being the last playbook in the series</w:t>
            </w:r>
          </w:p>
          <w:p>
            <w:pPr>
              <w:spacing w:before="0" w:after="0"/>
            </w:pPr>
            <w:r>
              <w:rPr>
                <w:rFonts w:ascii="Arial" w:cs="Arial" w:eastAsia="Arial" w:hAnsi="Arial"/>
                <w:color w:val="334155"/>
                <w:sz w:val="24"/>
                <w:szCs w:val="24"/>
              </w:rPr>
              <w:t xml:space="preserve">This is the thirty-first playbook in the Supervisor Playbook Series. We started with materials management and first-time fix rates. We end with how to talk to your manager. The through-line is the same: operational competence expressed through clear thinking, good evidence and direct communication. The supervisor who has worked through this series has the tools for every challenge the job will throw at them. Use them well.</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Leadership &amp; Culture Series  ·  Making the Case to Your Manager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2026-03-23T17:55:49.361Z</dcterms:created>
  <dcterms:modified xsi:type="dcterms:W3CDTF">2026-03-23T17:55:49.361Z</dcterms:modified>
</cp:coreProperties>
</file>

<file path=docProps/custom.xml><?xml version="1.0" encoding="utf-8"?>
<Properties xmlns="http://schemas.openxmlformats.org/officeDocument/2006/custom-properties" xmlns:vt="http://schemas.openxmlformats.org/officeDocument/2006/docPropsVTypes"/>
</file>