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Gas Safety — What a Supervisor Needs to Know</w:t>
            </w:r>
          </w:p>
          <w:p>
            <w:pPr>
              <w:spacing w:before="0" w:after="320"/>
            </w:pPr>
            <w:r>
              <w:rPr>
                <w:rFonts w:ascii="Arial" w:cs="Arial" w:eastAsia="Arial" w:hAnsi="Arial"/>
                <w:color w:val="FBB024"/>
                <w:sz w:val="27"/>
                <w:szCs w:val="27"/>
              </w:rPr>
              <w:t xml:space="preserve">Access Management, Overdue Services, Tenant Refusal and Your Legal Obligations</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Compliance &amp; Regulation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Gas safety is the compliance area that most directly exposes registered providers to enforcement action and criminal liability. The Annual Gas Safety Check (AGSC) is a legal obligation under the Gas Safety (Installation and Use) Regulations 1998. This playbook is not a technical gas safety manual — it is a guide for supervisors who need to understand their operational responsibilities in keeping the gas safety programme on track.</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legal framework in plain language</w:t>
      </w:r>
    </w:p>
    <w:p>
      <w:pPr>
        <w:spacing w:before="80" w:after="140"/>
      </w:pPr>
      <w:r>
        <w:rPr>
          <w:rFonts w:ascii="Arial" w:cs="Arial" w:eastAsia="Arial" w:hAnsi="Arial"/>
          <w:color w:val="334155"/>
          <w:sz w:val="24"/>
          <w:szCs w:val="24"/>
        </w:rPr>
        <w:t xml:space="preserve">Every gas appliance in a rented property must be inspected and certified by a Gas Safe registered engineer every twelve months. This is not optional. There is no exemption for difficult tenants, operational backlogs or budget pressures. The Gas Safety (Installation and Use) Regulations 1998 impose a strict duty on landlords. Failure to hold a current gas safety certificate for every property is a criminal offence.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Health and Safety Executive can prosecute registered providers for gas safety failures. Prosecution and conviction can result in unlimited fines and, for the responsible individuals within an organisation — typically directors, senior managers or those with named compliance accountability — up to two years’ imprisonment. This is not a theoretical risk: the HSE has prosecuted and the courts have imposed custodial sentences. The Housing Ombudsman has found against landlords for gas safety failures in terms of complaint handling. The Regulator of Social Housing assesses gas safety compliance as part of consumer standard reviews.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No current certificate — no excuses</w:t>
            </w:r>
          </w:p>
          <w:p>
            <w:pPr>
              <w:spacing w:before="0" w:after="0"/>
            </w:pPr>
            <w:r>
              <w:rPr>
                <w:rFonts w:ascii="Arial" w:cs="Arial" w:eastAsia="Arial" w:hAnsi="Arial"/>
                <w:color w:val="334155"/>
                <w:sz w:val="24"/>
                <w:szCs w:val="24"/>
              </w:rPr>
              <w:t xml:space="preserve">The only legally acceptable reason for not holding a current gas safety certificate for a property is that the property has no gas supply or appliances. Every other circumstance — including persistent tenant refusal — requires a documented escalation pathway, not acceptance of the compliance gap.</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supervisor's operational responsibilities</w:t>
      </w:r>
    </w:p>
    <w:p>
      <w:pPr>
        <w:spacing w:before="80" w:after="140"/>
      </w:pPr>
      <w:r>
        <w:rPr>
          <w:rFonts w:ascii="Arial" w:cs="Arial" w:eastAsia="Arial" w:hAnsi="Arial"/>
          <w:color w:val="334155"/>
          <w:sz w:val="24"/>
          <w:szCs w:val="24"/>
        </w:rPr>
        <w:t xml:space="preserve">The supervisor does not carry out gas safety checks — that is the engineer's job. But the supervisor owns the operational management of access, follow-up and escalation that makes the compliance programme work. Specifically:</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Ensuring operatives and engineers have the access information they need before every appointment</w:t>
      </w:r>
    </w:p>
    <w:p>
      <w:pPr>
        <w:pStyle w:val="ListParagraph"/>
        <w:numPr>
          <w:ilvl w:val="0"/>
          <w:numId w:val="2"/>
        </w:numPr>
        <w:spacing w:before="60" w:after="80"/>
      </w:pPr>
      <w:r>
        <w:rPr>
          <w:rFonts w:ascii="Arial" w:cs="Arial" w:eastAsia="Arial" w:hAnsi="Arial"/>
          <w:color w:val="334155"/>
          <w:sz w:val="24"/>
          <w:szCs w:val="24"/>
        </w:rPr>
        <w:t xml:space="preserve">Monitoring the programme for properties approaching their annual renewal date</w:t>
      </w:r>
    </w:p>
    <w:p>
      <w:pPr>
        <w:pStyle w:val="ListParagraph"/>
        <w:numPr>
          <w:ilvl w:val="0"/>
          <w:numId w:val="2"/>
        </w:numPr>
        <w:spacing w:before="60" w:after="80"/>
      </w:pPr>
      <w:r>
        <w:rPr>
          <w:rFonts w:ascii="Arial" w:cs="Arial" w:eastAsia="Arial" w:hAnsi="Arial"/>
          <w:color w:val="334155"/>
          <w:sz w:val="24"/>
          <w:szCs w:val="24"/>
        </w:rPr>
        <w:t xml:space="preserve">Managing the access and refusal process for properties where appointments have failed</w:t>
      </w:r>
    </w:p>
    <w:p>
      <w:pPr>
        <w:pStyle w:val="ListParagraph"/>
        <w:numPr>
          <w:ilvl w:val="0"/>
          <w:numId w:val="2"/>
        </w:numPr>
        <w:spacing w:before="60" w:after="80"/>
      </w:pPr>
      <w:r>
        <w:rPr>
          <w:rFonts w:ascii="Arial" w:cs="Arial" w:eastAsia="Arial" w:hAnsi="Arial"/>
          <w:color w:val="334155"/>
          <w:sz w:val="24"/>
          <w:szCs w:val="24"/>
        </w:rPr>
        <w:t xml:space="preserve">Escalating overdue properties through the correct pathway before the certificate expires</w:t>
      </w:r>
    </w:p>
    <w:p>
      <w:pPr>
        <w:pStyle w:val="ListParagraph"/>
        <w:numPr>
          <w:ilvl w:val="0"/>
          <w:numId w:val="2"/>
        </w:numPr>
        <w:spacing w:before="60" w:after="80"/>
      </w:pPr>
      <w:r>
        <w:rPr>
          <w:rFonts w:ascii="Arial" w:cs="Arial" w:eastAsia="Arial" w:hAnsi="Arial"/>
          <w:color w:val="334155"/>
          <w:sz w:val="24"/>
          <w:szCs w:val="24"/>
        </w:rPr>
        <w:t xml:space="preserve">Understanding what an engineer can and cannot do at a gas safety check — and what triggers an immediate works instruction</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Managing access for gas safety checks</w:t>
      </w:r>
    </w:p>
    <w:p>
      <w:pPr>
        <w:spacing w:before="80" w:after="140"/>
      </w:pPr>
      <w:r>
        <w:rPr>
          <w:rFonts w:ascii="Arial" w:cs="Arial" w:eastAsia="Arial" w:hAnsi="Arial"/>
          <w:color w:val="334155"/>
          <w:sz w:val="24"/>
          <w:szCs w:val="24"/>
        </w:rPr>
        <w:t xml:space="preserve">Most gas safety check failures are access failures — the tenant was not home, did not respond to appointment letters or refused access. The access management process for gas safety is more formal and more persistent than for responsive repairs, because the legal consequence of failure is categorically different.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escalating access protocol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3400"/>
        <w:gridCol w:w="4838"/>
      </w:tblGrid>
      <w:tr>
        <w:trPr>
          <w:tblHeader/>
        </w:trPr>
        <w:tc>
          <w:tcPr>
            <w:tcW w:type="dxa" w:w="1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Stage</w:t>
            </w:r>
          </w:p>
        </w:tc>
        <w:tc>
          <w:tcPr>
            <w:tcW w:type="dxa" w:w="3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Action</w:t>
            </w:r>
          </w:p>
        </w:tc>
        <w:tc>
          <w:tcPr>
            <w:tcW w:type="dxa" w:w="4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Timescale</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Written appointment letter sent with at least 48 hours' notice.</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At least 10 weeks before certificate expiry.</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Reminder letter or text/call if no response to first letter.</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At least 6 weeks before expiry.</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Attended visit — engineer and operative attend together. If no access, card left with contact number.</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At least 4 weeks before expiry.</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Final written notice — advising that legal action will be taken to gain access if not arranged.</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At least 2 weeks before expiry.</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Escalation to legal team for injunction if access still refused.</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Before certificate expires.</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6</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Court-ordered access if injunction granted. Gas isolated if access cannot be obtained.</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 soon as legally possible.</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Document every attempt</w:t>
            </w:r>
          </w:p>
          <w:p>
            <w:pPr>
              <w:spacing w:before="0" w:after="0"/>
            </w:pPr>
            <w:r>
              <w:rPr>
                <w:rFonts w:ascii="Arial" w:cs="Arial" w:eastAsia="Arial" w:hAnsi="Arial"/>
                <w:color w:val="334155"/>
                <w:sz w:val="24"/>
                <w:szCs w:val="24"/>
              </w:rPr>
              <w:t xml:space="preserve">Every access attempt must be documented with date, time, method and outcome. This documentation is the organisation's defence if enforcement action is taken. An undocumented access attempt did not happen.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Tenant refusal — what to do</w:t>
      </w:r>
    </w:p>
    <w:p>
      <w:pPr>
        <w:spacing w:before="80" w:after="140"/>
      </w:pPr>
      <w:r>
        <w:rPr>
          <w:rFonts w:ascii="Arial" w:cs="Arial" w:eastAsia="Arial" w:hAnsi="Arial"/>
          <w:color w:val="334155"/>
          <w:sz w:val="24"/>
          <w:szCs w:val="24"/>
        </w:rPr>
        <w:t xml:space="preserve">A tenant who refuses access for a gas safety check is putting themselves and potentially their neighbours at risk. The organisation's response is not to accept the refusal — it is to escalate through the legal pathway while making every reasonable effort to explain the purpose of the check and resolve the objection.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Find out why the tenant is refusing — fear of the engineer, previous bad experience, mental health, hoarding, safeguarding concern? The reason affects the approach.</w:t>
      </w:r>
    </w:p>
    <w:p>
      <w:pPr>
        <w:pStyle w:val="ListParagraph"/>
        <w:numPr>
          <w:ilvl w:val="0"/>
          <w:numId w:val="2"/>
        </w:numPr>
        <w:spacing w:before="60" w:after="80"/>
      </w:pPr>
      <w:r>
        <w:rPr>
          <w:rFonts w:ascii="Arial" w:cs="Arial" w:eastAsia="Arial" w:hAnsi="Arial"/>
          <w:color w:val="334155"/>
          <w:sz w:val="24"/>
          <w:szCs w:val="24"/>
        </w:rPr>
        <w:t xml:space="preserve">Offer alternatives — a different time, a female engineer, a translated letter, a support worker present. Remove every practical barrier before escalating legally.</w:t>
      </w:r>
    </w:p>
    <w:p>
      <w:pPr>
        <w:pStyle w:val="ListParagraph"/>
        <w:numPr>
          <w:ilvl w:val="0"/>
          <w:numId w:val="2"/>
        </w:numPr>
        <w:spacing w:before="60" w:after="80"/>
      </w:pPr>
      <w:r>
        <w:rPr>
          <w:rFonts w:ascii="Arial" w:cs="Arial" w:eastAsia="Arial" w:hAnsi="Arial"/>
          <w:color w:val="334155"/>
          <w:sz w:val="24"/>
          <w:szCs w:val="24"/>
        </w:rPr>
        <w:t xml:space="preserve">Involve the housing officer — the tenant relationship may be better managed through housing than through maintenance.</w:t>
      </w:r>
    </w:p>
    <w:p>
      <w:pPr>
        <w:pStyle w:val="ListParagraph"/>
        <w:numPr>
          <w:ilvl w:val="0"/>
          <w:numId w:val="2"/>
        </w:numPr>
        <w:spacing w:before="60" w:after="80"/>
      </w:pPr>
      <w:r>
        <w:rPr>
          <w:rFonts w:ascii="Arial" w:cs="Arial" w:eastAsia="Arial" w:hAnsi="Arial"/>
          <w:color w:val="334155"/>
          <w:sz w:val="24"/>
          <w:szCs w:val="24"/>
        </w:rPr>
        <w:t xml:space="preserve">Do not isolate the gas supply without legal authority except in an immediate safety emergency.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Refusal plus vulnerability is a safeguarding flag</w:t>
            </w:r>
          </w:p>
          <w:p>
            <w:pPr>
              <w:spacing w:before="0" w:after="0"/>
            </w:pPr>
            <w:r>
              <w:rPr>
                <w:rFonts w:ascii="Arial" w:cs="Arial" w:eastAsia="Arial" w:hAnsi="Arial"/>
                <w:color w:val="334155"/>
                <w:sz w:val="24"/>
                <w:szCs w:val="24"/>
              </w:rPr>
              <w:t xml:space="preserve">A tenant who refuses access for a gas safety check and who is known to be vulnerable — elderly, mental health condition, domestic abuse situation — may be refusing for reasons that go beyond inconvenience. Flag to the designated safeguarding lead. Do not treat this as purely a compliance matter.</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What happens at the gas safety check</w:t>
      </w:r>
    </w:p>
    <w:p>
      <w:pPr>
        <w:spacing w:before="80" w:after="140"/>
      </w:pPr>
      <w:r>
        <w:rPr>
          <w:rFonts w:ascii="Arial" w:cs="Arial" w:eastAsia="Arial" w:hAnsi="Arial"/>
          <w:color w:val="334155"/>
          <w:sz w:val="24"/>
          <w:szCs w:val="24"/>
        </w:rPr>
        <w:t xml:space="preserve">The Gas Safe engineer inspects all gas appliances, flues and pipework. They check for gas tightness, correct operation, adequate ventilation and safe flue operation. The outcome is one of three: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Pass — certificate issued, valid for twelve months from the date of inspection</w:t>
      </w:r>
    </w:p>
    <w:p>
      <w:pPr>
        <w:pStyle w:val="ListParagraph"/>
        <w:numPr>
          <w:ilvl w:val="0"/>
          <w:numId w:val="2"/>
        </w:numPr>
        <w:spacing w:before="60" w:after="80"/>
      </w:pPr>
      <w:r>
        <w:rPr>
          <w:rFonts w:ascii="Arial" w:cs="Arial" w:eastAsia="Arial" w:hAnsi="Arial"/>
          <w:color w:val="334155"/>
          <w:sz w:val="24"/>
          <w:szCs w:val="24"/>
        </w:rPr>
        <w:t xml:space="preserve">At Risk (AR) — a defect has been identified that presents a risk but does not require immediate disconnection. The appliance should be repaired within a defined timescale. The engineer issues a warning notice.</w:t>
      </w:r>
    </w:p>
    <w:p>
      <w:pPr>
        <w:pStyle w:val="ListParagraph"/>
        <w:numPr>
          <w:ilvl w:val="0"/>
          <w:numId w:val="2"/>
        </w:numPr>
        <w:spacing w:before="60" w:after="80"/>
      </w:pPr>
      <w:r>
        <w:rPr>
          <w:rFonts w:ascii="Arial" w:cs="Arial" w:eastAsia="Arial" w:hAnsi="Arial"/>
          <w:color w:val="334155"/>
          <w:sz w:val="24"/>
          <w:szCs w:val="24"/>
        </w:rPr>
        <w:t xml:space="preserve">Immediately Dangerous (ID) — the appliance or installation is immediately dangerous. The engineer must disconnect it immediately or cap the supply. The tenant must be informed.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must ensure that AR and ID outcomes generate immediate works instructions. An appliance left in an At Risk condition without a repair instruction is a compliance failure and potentially a liability. An Immediately Dangerous disconnection must be followed up with repair or replacement before the supply is reinstated.</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Legal position</w:t>
      </w:r>
    </w:p>
    <w:p>
      <w:pPr>
        <w:pStyle w:val="ListParagraph"/>
        <w:numPr>
          <w:ilvl w:val="0"/>
          <w:numId w:val="2"/>
        </w:numPr>
        <w:spacing w:before="60" w:after="80"/>
      </w:pPr>
      <w:r>
        <w:rPr>
          <w:rFonts w:ascii="Arial" w:cs="Arial" w:eastAsia="Arial" w:hAnsi="Arial"/>
          <w:color w:val="334155"/>
          <w:sz w:val="24"/>
          <w:szCs w:val="24"/>
        </w:rPr>
        <w:t xml:space="preserve">Gas Safety (Installation and Use) Regulations 1998 — annual check is a legal obligation</w:t>
      </w:r>
    </w:p>
    <w:p>
      <w:pPr>
        <w:pStyle w:val="ListParagraph"/>
        <w:numPr>
          <w:ilvl w:val="0"/>
          <w:numId w:val="2"/>
        </w:numPr>
        <w:spacing w:before="60" w:after="80"/>
      </w:pPr>
      <w:r>
        <w:rPr>
          <w:rFonts w:ascii="Arial" w:cs="Arial" w:eastAsia="Arial" w:hAnsi="Arial"/>
          <w:color w:val="334155"/>
          <w:sz w:val="24"/>
          <w:szCs w:val="24"/>
        </w:rPr>
        <w:t xml:space="preserve">No current certificate = criminal offence regardless of reason</w:t>
      </w:r>
    </w:p>
    <w:p>
      <w:pPr>
        <w:pStyle w:val="ListParagraph"/>
        <w:numPr>
          <w:ilvl w:val="0"/>
          <w:numId w:val="2"/>
        </w:numPr>
        <w:spacing w:before="60" w:after="80"/>
      </w:pPr>
      <w:r>
        <w:rPr>
          <w:rFonts w:ascii="Arial" w:cs="Arial" w:eastAsia="Arial" w:hAnsi="Arial"/>
          <w:color w:val="334155"/>
          <w:sz w:val="24"/>
          <w:szCs w:val="24"/>
        </w:rPr>
        <w:t xml:space="preserve">Criminal penalties: unlimited fines, up to two years' imprisonment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Access protocol stages</w:t>
      </w:r>
    </w:p>
    <w:p>
      <w:pPr>
        <w:pStyle w:val="ListParagraph"/>
        <w:numPr>
          <w:ilvl w:val="0"/>
          <w:numId w:val="2"/>
        </w:numPr>
        <w:spacing w:before="60" w:after="80"/>
      </w:pPr>
      <w:r>
        <w:rPr>
          <w:rFonts w:ascii="Arial" w:cs="Arial" w:eastAsia="Arial" w:hAnsi="Arial"/>
          <w:color w:val="334155"/>
          <w:sz w:val="24"/>
          <w:szCs w:val="24"/>
        </w:rPr>
        <w:t xml:space="preserve">10 weeks before expiry: written appointment · 6 weeks: reminder · 4 weeks: attended visit · 2 weeks: final notice · Before expiry: legal escalation</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Engineer outcomes — supervisor action</w:t>
      </w:r>
    </w:p>
    <w:p>
      <w:pPr>
        <w:pStyle w:val="ListParagraph"/>
        <w:numPr>
          <w:ilvl w:val="0"/>
          <w:numId w:val="2"/>
        </w:numPr>
        <w:spacing w:before="60" w:after="80"/>
      </w:pPr>
      <w:r>
        <w:rPr>
          <w:rFonts w:ascii="Arial" w:cs="Arial" w:eastAsia="Arial" w:hAnsi="Arial"/>
          <w:color w:val="334155"/>
          <w:sz w:val="24"/>
          <w:szCs w:val="24"/>
        </w:rPr>
        <w:t xml:space="preserve">Pass: file certificate, set renewal date</w:t>
      </w:r>
    </w:p>
    <w:p>
      <w:pPr>
        <w:pStyle w:val="ListParagraph"/>
        <w:numPr>
          <w:ilvl w:val="0"/>
          <w:numId w:val="2"/>
        </w:numPr>
        <w:spacing w:before="60" w:after="80"/>
      </w:pPr>
      <w:r>
        <w:rPr>
          <w:rFonts w:ascii="Arial" w:cs="Arial" w:eastAsia="Arial" w:hAnsi="Arial"/>
          <w:color w:val="334155"/>
          <w:sz w:val="24"/>
          <w:szCs w:val="24"/>
        </w:rPr>
        <w:t xml:space="preserve">At Risk: immediate repair works instruction</w:t>
      </w:r>
    </w:p>
    <w:p>
      <w:pPr>
        <w:pStyle w:val="ListParagraph"/>
        <w:numPr>
          <w:ilvl w:val="0"/>
          <w:numId w:val="2"/>
        </w:numPr>
        <w:spacing w:before="60" w:after="80"/>
      </w:pPr>
      <w:r>
        <w:rPr>
          <w:rFonts w:ascii="Arial" w:cs="Arial" w:eastAsia="Arial" w:hAnsi="Arial"/>
          <w:color w:val="334155"/>
          <w:sz w:val="24"/>
          <w:szCs w:val="24"/>
        </w:rPr>
        <w:t xml:space="preserve">Immediately Dangerous: disconnection confirmed, repair/replacement before reinstatement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Gas safety compliance is not a performance metric — it is a legal obligation. The supervisor who lets certificates drift into non-compliance because access is difficult is not managing the programme, they are creating a criminal liability for the organisation and themselves. The access and escalation protocol exists precisely for difficult cases. Follow it.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Compliance &amp; Regulation Series  ·  Gas Safety — What a Supervisor Needs to Know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2026-03-23T17:55:48.873Z</dcterms:created>
  <dcterms:modified xsi:type="dcterms:W3CDTF">2026-03-23T17:55:48.874Z</dcterms:modified>
</cp:coreProperties>
</file>

<file path=docProps/custom.xml><?xml version="1.0" encoding="utf-8"?>
<Properties xmlns="http://schemas.openxmlformats.org/officeDocument/2006/custom-properties" xmlns:vt="http://schemas.openxmlformats.org/officeDocument/2006/docPropsVTypes"/>
</file>