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shd w:fill="0A0F1E" w:val="clear"/>
            <w:tcMar>
              <w:top w:type="dxa" w:w="560"/>
              <w:left w:type="dxa" w:w="480"/>
              <w:bottom w:type="dxa" w:w="560"/>
              <w:right w:type="dxa" w:w="480"/>
            </w:tcMar>
            <w:vAlign w:val="center"/>
          </w:tcPr>
          <w:p>
            <w:pPr>
              <w:spacing w:before="0" w:after="40"/>
            </w:pPr>
            <w:r>
              <w:rPr>
                <w:rFonts w:ascii="Arial" w:cs="Arial" w:eastAsia="Arial" w:hAnsi="Arial"/>
                <w:b/>
                <w:bCs/>
                <w:color w:val="FFFFFF"/>
                <w:sz w:val="28"/>
                <w:szCs w:val="28"/>
              </w:rPr>
              <w:t xml:space="preserve">socialhousing</w:t>
            </w:r>
            <w:r>
              <w:rPr>
                <w:rFonts w:ascii="Arial" w:cs="Arial" w:eastAsia="Arial" w:hAnsi="Arial"/>
                <w:b/>
                <w:bCs/>
                <w:color w:val="22D3EE"/>
                <w:sz w:val="28"/>
                <w:szCs w:val="28"/>
              </w:rPr>
              <w:t xml:space="preserve">.ai</w:t>
            </w:r>
          </w:p>
          <w:p>
            <w:pPr>
              <w:spacing w:before="0" w:after="280"/>
            </w:pPr>
            <w:r>
              <w:rPr>
                <w:rFonts w:ascii="Arial" w:cs="Arial" w:eastAsia="Arial" w:hAnsi="Arial"/>
                <w:b/>
                <w:bCs/>
                <w:caps/>
                <w:color w:val="64748B"/>
                <w:sz w:val="18"/>
                <w:szCs w:val="18"/>
              </w:rPr>
              <w:t xml:space="preserve">SUPERVISOR PLAYBOOK SERIES</w:t>
            </w:r>
          </w:p>
          <w:p>
            <w:pPr>
              <w:pBdr>
                <w:bottom w:val="single" w:color="0891B2" w:sz="6" w:space="0"/>
              </w:pBdr>
              <w:spacing w:before="0" w:after="240"/>
            </w:pPr>
            <w:r>
              <w:rPr>
                <w:rFonts w:ascii="Arial" w:cs="Arial" w:eastAsia="Arial" w:hAnsi="Arial"/>
                <w:sz w:val="4"/>
                <w:szCs w:val="4"/>
              </w:rPr>
              <w:t xml:space="preserve"/>
            </w:r>
          </w:p>
          <w:p>
            <w:pPr>
              <w:spacing w:before="240" w:after="80"/>
            </w:pPr>
            <w:r>
              <w:rPr>
                <w:rFonts w:ascii="Arial" w:cs="Arial" w:eastAsia="Arial" w:hAnsi="Arial"/>
                <w:b/>
                <w:bCs/>
                <w:color w:val="FFFFFF"/>
                <w:sz w:val="56"/>
                <w:szCs w:val="56"/>
              </w:rPr>
              <w:t xml:space="preserve">The Failed Appointments Playbook</w:t>
            </w:r>
          </w:p>
          <w:p>
            <w:pPr>
              <w:spacing w:before="0" w:after="320"/>
            </w:pPr>
            <w:r>
              <w:rPr>
                <w:rFonts w:ascii="Arial" w:cs="Arial" w:eastAsia="Arial" w:hAnsi="Arial"/>
                <w:b w:val="false"/>
                <w:bCs w:val="false"/>
                <w:color w:val="FBB024"/>
                <w:sz w:val="30"/>
                <w:szCs w:val="30"/>
              </w:rPr>
              <w:t xml:space="preserve">Understanding, Reducing and Managing Missed and Failed First Appointments</w:t>
            </w:r>
          </w:p>
          <w:p>
            <w:pPr>
              <w:pBdr>
                <w:bottom w:val="single" w:color="1E3A5F" w:sz="2" w:space="0"/>
              </w:pBdr>
              <w:spacing w:before="0" w:after="240"/>
            </w:pPr>
            <w:r>
              <w:rPr>
                <w:rFonts w:ascii="Arial" w:cs="Arial" w:eastAsia="Arial" w:hAnsi="Arial"/>
                <w:sz w:val="4"/>
                <w:szCs w:val="4"/>
              </w:rPr>
              <w:t xml:space="preserve"/>
            </w:r>
          </w:p>
          <w:p>
            <w:pPr>
              <w:spacing w:before="240" w:after="80"/>
            </w:pPr>
            <w:r>
              <w:rPr>
                <w:rFonts w:ascii="Arial" w:cs="Arial" w:eastAsia="Arial" w:hAnsi="Arial"/>
                <w:color w:val="94A3B8"/>
                <w:sz w:val="24"/>
                <w:szCs w:val="24"/>
              </w:rPr>
              <w:t xml:space="preserve">A practical guide for trade supervisors in social housing maintenance</w:t>
            </w:r>
          </w:p>
          <w:p>
            <w:pPr>
              <w:spacing w:before="0" w:after="480"/>
            </w:pPr>
            <w:r>
              <w:rPr>
                <w:rFonts w:ascii="Arial" w:cs="Arial" w:eastAsia="Arial" w:hAnsi="Arial"/>
                <w:color w:val="475569"/>
                <w:sz w:val="22"/>
                <w:szCs w:val="22"/>
              </w:rPr>
              <w:t xml:space="preserve">March 2026  ·  Free to use and share  ·  socialhousing.ai</w:t>
            </w:r>
          </w:p>
          <w:p>
            <w:pPr>
              <w:pBdr>
                <w:bottom w:val="single" w:color="0891B2" w:sz="6" w:space="0"/>
              </w:pBdr>
              <w:spacing w:before="0" w:after="200"/>
            </w:pPr>
            <w:r>
              <w:rPr>
                <w:rFonts w:ascii="Arial" w:cs="Arial" w:eastAsia="Arial" w:hAnsi="Arial"/>
                <w:sz w:val="4"/>
                <w:szCs w:val="4"/>
              </w:rPr>
              <w:t xml:space="preserve"/>
            </w:r>
          </w:p>
          <w:p>
            <w:pPr>
              <w:spacing w:before="200" w:after="60"/>
            </w:pPr>
            <w:r>
              <w:rPr>
                <w:rFonts w:ascii="Arial" w:cs="Arial" w:eastAsia="Arial" w:hAnsi="Arial"/>
                <w:b/>
                <w:bCs/>
                <w:color w:val="FBB024"/>
                <w:sz w:val="22"/>
                <w:szCs w:val="22"/>
              </w:rPr>
              <w:t xml:space="preserve">About this playbook</w:t>
            </w:r>
          </w:p>
          <w:p>
            <w:pPr>
              <w:spacing w:before="0" w:after="80"/>
            </w:pPr>
            <w:r>
              <w:rPr>
                <w:rFonts w:ascii="Arial" w:cs="Arial" w:eastAsia="Arial" w:hAnsi="Arial"/>
                <w:color w:val="94A3B8"/>
                <w:sz w:val="22"/>
                <w:szCs w:val="22"/>
              </w:rPr>
              <w:t xml:space="preserve">Failed appointments are one of the most controllable cost drivers in responsive repairs — and one of the least controlled. This playbook covers the root causes, the supervisor's levers, the planning controls and the operative accountability framework that consistently reduces failed appointment rates in DLO environments.</w:t>
            </w:r>
          </w:p>
          <w:p>
            <w:pPr>
              <w:spacing w:before="0" w:after="0"/>
            </w:pPr>
            <w:r>
              <w:rPr>
                <w:rFonts w:ascii="Arial" w:cs="Arial" w:eastAsia="Arial" w:hAnsi="Arial"/>
                <w:color w:val="64748B"/>
                <w:sz w:val="22"/>
                <w:szCs w:val="22"/>
              </w:rPr>
              <w:t xml:space="preserve">Free to use, free to share, free to adapt. No login required.</w:t>
            </w:r>
          </w:p>
        </w:tc>
      </w:tr>
    </w:tbl>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1. The real cost of a failed appointment</w:t>
      </w:r>
    </w:p>
    <w:p>
      <w:pPr>
        <w:spacing w:before="80" w:after="140"/>
      </w:pPr>
      <w:r>
        <w:rPr>
          <w:rFonts w:ascii="Arial" w:cs="Arial" w:eastAsia="Arial" w:hAnsi="Arial"/>
          <w:color w:val="334155"/>
          <w:sz w:val="24"/>
          <w:szCs w:val="24"/>
        </w:rPr>
        <w:t xml:space="preserve">A failed appointment — a job that was booked, scheduled, resourced and attended but not completed because the tenant was not available — is not a minor inconvenience. It is a complete waste of every resource that went into it, plus the full cost of the return visit that has to replace it.</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In a standard responsive repairs operation, a failed first appointment costs between £80 and £150 in operative time, travel and administration. The return visit costs the same again. A single failed appointment therefore generates £160 to £300 in wasted cost before a single minute of productive repair work has been done. In a service generating twenty failed appointments per week, that is £160,000 to £300,000 per year in direct cost — not counting SLA penalties, tenant satisfaction impact or the TSM consequence of repeated missed appointments.</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Most organisations measure failed appointments and report them upward. Fewer have a supervisor-level intervention framework that actually reduces them. This playbook is that framework.</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0891B2" w:sz="16"/>
              <w:bottom w:val="none" w:color="FFFFFF" w:sz="0"/>
              <w:right w:val="none" w:color="FFFFFF" w:sz="0"/>
            </w:tcBorders>
            <w:shd w:fill="E0F2FE" w:val="clear"/>
            <w:tcMar>
              <w:top w:type="dxa" w:w="160"/>
              <w:left w:type="dxa" w:w="240"/>
              <w:bottom w:type="dxa" w:w="160"/>
              <w:right w:type="dxa" w:w="200"/>
            </w:tcMar>
          </w:tcPr>
          <w:p>
            <w:pPr>
              <w:spacing w:before="0" w:after="80"/>
            </w:pPr>
            <w:r>
              <w:rPr>
                <w:rFonts w:ascii="Arial" w:cs="Arial" w:eastAsia="Arial" w:hAnsi="Arial"/>
                <w:b/>
                <w:bCs/>
                <w:color w:val="0E7490"/>
                <w:sz w:val="26"/>
                <w:szCs w:val="26"/>
              </w:rPr>
              <w:t xml:space="preserve">Failed appointments are a management problem, not a planning problem</w:t>
            </w:r>
          </w:p>
          <w:p>
            <w:pPr>
              <w:spacing w:before="0" w:after="0"/>
            </w:pPr>
            <w:r>
              <w:rPr>
                <w:rFonts w:ascii="Arial" w:cs="Arial" w:eastAsia="Arial" w:hAnsi="Arial"/>
                <w:color w:val="334155"/>
                <w:sz w:val="24"/>
                <w:szCs w:val="24"/>
              </w:rPr>
              <w:t xml:space="preserve">The most common response to a high failed appointment rate is to ask the planning team to do something about it. Planners can help — with confirmation calls, smarter scheduling and access notes. But the primary lever is supervisory. Operatives who know their supervisor notices and acts on failed appointment data perform differently from operatives who know it is tracked but never discussed. The supervisor is the intervention.</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2. Root cause analysis — why appointments fail</w:t>
      </w:r>
    </w:p>
    <w:p>
      <w:pPr>
        <w:spacing w:before="80" w:after="140"/>
      </w:pPr>
      <w:r>
        <w:rPr>
          <w:rFonts w:ascii="Arial" w:cs="Arial" w:eastAsia="Arial" w:hAnsi="Arial"/>
          <w:color w:val="334155"/>
          <w:sz w:val="24"/>
          <w:szCs w:val="24"/>
        </w:rPr>
        <w:t xml:space="preserve">Failed appointments do not all have the same cause and they do not all have the same solution. Before any intervention, the supervisor needs to understand what is actually driving the failure rate in their team.</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200"/>
        <w:gridCol w:w="3200"/>
        <w:gridCol w:w="2000"/>
        <w:gridCol w:w="2238"/>
      </w:tblGrid>
      <w:tr>
        <w:trPr>
          <w:tblHeader/>
        </w:trPr>
        <w:tc>
          <w:tcPr>
            <w:tcW w:type="dxa" w:w="22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Root cause</w:t>
            </w:r>
          </w:p>
        </w:tc>
        <w:tc>
          <w:tcPr>
            <w:tcW w:type="dxa" w:w="32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What it looks like</w:t>
            </w:r>
          </w:p>
        </w:tc>
        <w:tc>
          <w:tcPr>
            <w:tcW w:type="dxa" w:w="20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Who owns it</w:t>
            </w:r>
          </w:p>
        </w:tc>
        <w:tc>
          <w:tcPr>
            <w:tcW w:type="dxa" w:w="2238"/>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Primary intervention</w:t>
            </w:r>
          </w:p>
        </w:tc>
      </w:tr>
      <w:tr>
        <w:tc>
          <w:tcPr>
            <w:tcW w:type="dxa" w:w="2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No confirmation</w:t>
            </w:r>
          </w:p>
        </w:tc>
        <w:tc>
          <w:tcPr>
            <w:tcW w:type="dxa" w:w="3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Appointment booked but no contact with tenant before visit. Tenant not home.</w:t>
            </w:r>
          </w:p>
        </w:tc>
        <w:tc>
          <w:tcPr>
            <w:tcW w:type="dxa" w:w="20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Planning / supervisor</w:t>
            </w:r>
          </w:p>
        </w:tc>
        <w:tc>
          <w:tcPr>
            <w:tcW w:type="dxa" w:w="22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Pre-visit confirmation call standard</w:t>
            </w:r>
          </w:p>
        </w:tc>
      </w:tr>
      <w:tr>
        <w:tc>
          <w:tcPr>
            <w:tcW w:type="dxa" w:w="22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Wrong appointment window</w:t>
            </w:r>
          </w:p>
        </w:tc>
        <w:tc>
          <w:tcPr>
            <w:tcW w:type="dxa" w:w="32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Appointment booked for a time the tenant said did not work. Tenant not home.</w:t>
            </w:r>
          </w:p>
        </w:tc>
        <w:tc>
          <w:tcPr>
            <w:tcW w:type="dxa" w:w="20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Planning</w:t>
            </w:r>
          </w:p>
        </w:tc>
        <w:tc>
          <w:tcPr>
            <w:tcW w:type="dxa" w:w="22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Booking quality check</w:t>
            </w:r>
          </w:p>
        </w:tc>
      </w:tr>
      <w:tr>
        <w:tc>
          <w:tcPr>
            <w:tcW w:type="dxa" w:w="2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Operative left early</w:t>
            </w:r>
          </w:p>
        </w:tc>
        <w:tc>
          <w:tcPr>
            <w:tcW w:type="dxa" w:w="3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Operative records no access within the first thirty minutes of a two-hour window.</w:t>
            </w:r>
          </w:p>
        </w:tc>
        <w:tc>
          <w:tcPr>
            <w:tcW w:type="dxa" w:w="20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Supervisor</w:t>
            </w:r>
          </w:p>
        </w:tc>
        <w:tc>
          <w:tcPr>
            <w:tcW w:type="dxa" w:w="22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Performance conversation. See Managing Operative Performance playbook.</w:t>
            </w:r>
          </w:p>
        </w:tc>
      </w:tr>
      <w:tr>
        <w:tc>
          <w:tcPr>
            <w:tcW w:type="dxa" w:w="22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Operative did not attend</w:t>
            </w:r>
          </w:p>
        </w:tc>
        <w:tc>
          <w:tcPr>
            <w:tcW w:type="dxa" w:w="32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Job recorded as no access but operative was not present at the property.</w:t>
            </w:r>
          </w:p>
        </w:tc>
        <w:tc>
          <w:tcPr>
            <w:tcW w:type="dxa" w:w="20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Supervisor</w:t>
            </w:r>
          </w:p>
        </w:tc>
        <w:tc>
          <w:tcPr>
            <w:tcW w:type="dxa" w:w="22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Direct investigation. Disciplinary process if confirmed.</w:t>
            </w:r>
          </w:p>
        </w:tc>
      </w:tr>
      <w:tr>
        <w:tc>
          <w:tcPr>
            <w:tcW w:type="dxa" w:w="2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Access issue known, not flagged</w:t>
            </w:r>
          </w:p>
        </w:tc>
        <w:tc>
          <w:tcPr>
            <w:tcW w:type="dxa" w:w="3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Tenant has known access difficulties — intercom not working, door code needed, carer required to be present — not recorded on the job.</w:t>
            </w:r>
          </w:p>
        </w:tc>
        <w:tc>
          <w:tcPr>
            <w:tcW w:type="dxa" w:w="20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Planning / supervisor</w:t>
            </w:r>
          </w:p>
        </w:tc>
        <w:tc>
          <w:tcPr>
            <w:tcW w:type="dxa" w:w="22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Access notes standard</w:t>
            </w:r>
          </w:p>
        </w:tc>
      </w:tr>
      <w:tr>
        <w:tc>
          <w:tcPr>
            <w:tcW w:type="dxa" w:w="22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Repeat tenant non-availability</w:t>
            </w:r>
          </w:p>
        </w:tc>
        <w:tc>
          <w:tcPr>
            <w:tcW w:type="dxa" w:w="32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Same tenant, repeated no access across multiple visits.</w:t>
            </w:r>
          </w:p>
        </w:tc>
        <w:tc>
          <w:tcPr>
            <w:tcW w:type="dxa" w:w="20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Housing management / supervisor</w:t>
            </w:r>
          </w:p>
        </w:tc>
        <w:tc>
          <w:tcPr>
            <w:tcW w:type="dxa" w:w="22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Joint intervention with housing officer</w:t>
            </w:r>
          </w:p>
        </w:tc>
      </w:tr>
      <w:tr>
        <w:tc>
          <w:tcPr>
            <w:tcW w:type="dxa" w:w="2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Vulnerability not flagged</w:t>
            </w:r>
          </w:p>
        </w:tc>
        <w:tc>
          <w:tcPr>
            <w:tcW w:type="dxa" w:w="3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Tenant has mental health or other needs that affect their ability to manage appointments. Not recorded on the job.</w:t>
            </w:r>
          </w:p>
        </w:tc>
        <w:tc>
          <w:tcPr>
            <w:tcW w:type="dxa" w:w="20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Housing management</w:t>
            </w:r>
          </w:p>
        </w:tc>
        <w:tc>
          <w:tcPr>
            <w:tcW w:type="dxa" w:w="22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Vulnerability flag process</w:t>
            </w:r>
          </w:p>
        </w:tc>
      </w:tr>
    </w:tbl>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D97706" w:sz="16"/>
              <w:bottom w:val="none" w:color="FFFFFF" w:sz="0"/>
              <w:right w:val="none" w:color="FFFFFF" w:sz="0"/>
            </w:tcBorders>
            <w:shd w:fill="FFFBEB" w:val="clear"/>
            <w:tcMar>
              <w:top w:type="dxa" w:w="160"/>
              <w:left w:type="dxa" w:w="240"/>
              <w:bottom w:type="dxa" w:w="160"/>
              <w:right w:type="dxa" w:w="200"/>
            </w:tcMar>
          </w:tcPr>
          <w:p>
            <w:pPr>
              <w:spacing w:before="0" w:after="80"/>
            </w:pPr>
            <w:r>
              <w:rPr>
                <w:rFonts w:ascii="Arial" w:cs="Arial" w:eastAsia="Arial" w:hAnsi="Arial"/>
                <w:b/>
                <w:bCs/>
                <w:color w:val="B45309"/>
                <w:sz w:val="26"/>
                <w:szCs w:val="26"/>
              </w:rPr>
              <w:t xml:space="preserve">Know your actual split before intervening</w:t>
            </w:r>
          </w:p>
          <w:p>
            <w:pPr>
              <w:spacing w:before="0" w:after="0"/>
            </w:pPr>
            <w:r>
              <w:rPr>
                <w:rFonts w:ascii="Arial" w:cs="Arial" w:eastAsia="Arial" w:hAnsi="Arial"/>
                <w:color w:val="334155"/>
                <w:sz w:val="24"/>
                <w:szCs w:val="24"/>
              </w:rPr>
              <w:t xml:space="preserve">If 70% of your failed appointments are caused by no pre-visit confirmation and 30% are caused by everything else, improving your confirmation rate will move the needle significantly. If the split is more even, you need multiple interventions running simultaneously. Pull your data before deciding where to focus.</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3. The pre-visit confirmation standard</w:t>
      </w:r>
    </w:p>
    <w:p>
      <w:pPr>
        <w:spacing w:before="80" w:after="140"/>
      </w:pPr>
      <w:r>
        <w:rPr>
          <w:rFonts w:ascii="Arial" w:cs="Arial" w:eastAsia="Arial" w:hAnsi="Arial"/>
          <w:color w:val="334155"/>
          <w:sz w:val="24"/>
          <w:szCs w:val="24"/>
        </w:rPr>
        <w:t xml:space="preserve">The single most effective intervention for reducing failed appointments is a consistent pre-visit confirmation call. The data from DLOs that have implemented this systematically is unambiguous: services that confirm appointments the day before see failed appointment rates reduce by 25 to 40 per cent within eight to twelve weeks.</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 confirmation call does not need to be long. Its purpose is to verify that the tenant knows the appointment is happening, knows the time window, and will be home. A sixty-second call achieves this.</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3.1  The confirmation standard</w:t>
      </w:r>
    </w:p>
    <w:p>
      <w:pPr>
        <w:pStyle w:val="ListParagraph"/>
        <w:numPr>
          <w:ilvl w:val="0"/>
          <w:numId w:val="2"/>
        </w:numPr>
        <w:spacing w:before="60" w:after="80"/>
      </w:pPr>
      <w:r>
        <w:rPr>
          <w:rFonts w:ascii="Arial" w:cs="Arial" w:eastAsia="Arial" w:hAnsi="Arial"/>
          <w:color w:val="334155"/>
          <w:sz w:val="24"/>
          <w:szCs w:val="24"/>
        </w:rPr>
        <w:t xml:space="preserve">All morning appointments confirmed the evening before, between 17:00 and 19:00.</w:t>
      </w:r>
    </w:p>
    <w:p>
      <w:pPr>
        <w:pStyle w:val="ListParagraph"/>
        <w:numPr>
          <w:ilvl w:val="0"/>
          <w:numId w:val="2"/>
        </w:numPr>
        <w:spacing w:before="60" w:after="80"/>
      </w:pPr>
      <w:r>
        <w:rPr>
          <w:rFonts w:ascii="Arial" w:cs="Arial" w:eastAsia="Arial" w:hAnsi="Arial"/>
          <w:color w:val="334155"/>
          <w:sz w:val="24"/>
          <w:szCs w:val="24"/>
        </w:rPr>
        <w:t xml:space="preserve">All afternoon appointments confirmed on the morning of the visit, before 10:00.</w:t>
      </w:r>
    </w:p>
    <w:p>
      <w:pPr>
        <w:pStyle w:val="ListParagraph"/>
        <w:numPr>
          <w:ilvl w:val="0"/>
          <w:numId w:val="2"/>
        </w:numPr>
        <w:spacing w:before="60" w:after="80"/>
      </w:pPr>
      <w:r>
        <w:rPr>
          <w:rFonts w:ascii="Arial" w:cs="Arial" w:eastAsia="Arial" w:hAnsi="Arial"/>
          <w:color w:val="334155"/>
          <w:sz w:val="24"/>
          <w:szCs w:val="24"/>
        </w:rPr>
        <w:t xml:space="preserve">Where no answer is received: one further attempt, then a text message confirming the appointment details and asking the tenant to call back if they cannot be home.</w:t>
      </w:r>
    </w:p>
    <w:p>
      <w:pPr>
        <w:pStyle w:val="ListParagraph"/>
        <w:numPr>
          <w:ilvl w:val="0"/>
          <w:numId w:val="2"/>
        </w:numPr>
        <w:spacing w:before="60" w:after="80"/>
      </w:pPr>
      <w:r>
        <w:rPr>
          <w:rFonts w:ascii="Arial" w:cs="Arial" w:eastAsia="Arial" w:hAnsi="Arial"/>
          <w:color w:val="334155"/>
          <w:sz w:val="24"/>
          <w:szCs w:val="24"/>
        </w:rPr>
        <w:t xml:space="preserve">All confirmation attempts — successful and unsuccessful — recorded in the works management system against the job.</w:t>
      </w:r>
    </w:p>
    <w:p>
      <w:pPr>
        <w:pStyle w:val="ListParagraph"/>
        <w:numPr>
          <w:ilvl w:val="0"/>
          <w:numId w:val="2"/>
        </w:numPr>
        <w:spacing w:before="60" w:after="80"/>
      </w:pPr>
      <w:r>
        <w:rPr>
          <w:rFonts w:ascii="Arial" w:cs="Arial" w:eastAsia="Arial" w:hAnsi="Arial"/>
          <w:color w:val="334155"/>
          <w:sz w:val="24"/>
          <w:szCs w:val="24"/>
        </w:rPr>
        <w:t xml:space="preserve">Where contact cannot be made and the appointment is high priority, the supervisor is notified before the operative is dispatched.</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3.2  Who makes the confirmation call</w:t>
      </w:r>
    </w:p>
    <w:p>
      <w:pPr>
        <w:spacing w:before="80" w:after="140"/>
      </w:pPr>
      <w:r>
        <w:rPr>
          <w:rFonts w:ascii="Arial" w:cs="Arial" w:eastAsia="Arial" w:hAnsi="Arial"/>
          <w:color w:val="334155"/>
          <w:sz w:val="24"/>
          <w:szCs w:val="24"/>
        </w:rPr>
        <w:t xml:space="preserve">This depends on your service model. In most DLOs, confirmation calls are made by the planning function. In smaller operations, the supervisor may make them. What matters is not who makes the call but that it is made consistently and recorded. The supervisor's role is to check that the standard is being applied and to act when it is not.</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D97706" w:sz="16"/>
              <w:bottom w:val="none" w:color="FFFFFF" w:sz="0"/>
              <w:right w:val="none" w:color="FFFFFF" w:sz="0"/>
            </w:tcBorders>
            <w:shd w:fill="FFFBEB" w:val="clear"/>
            <w:tcMar>
              <w:top w:type="dxa" w:w="160"/>
              <w:left w:type="dxa" w:w="240"/>
              <w:bottom w:type="dxa" w:w="160"/>
              <w:right w:type="dxa" w:w="200"/>
            </w:tcMar>
          </w:tcPr>
          <w:p>
            <w:pPr>
              <w:spacing w:before="0" w:after="80"/>
            </w:pPr>
            <w:r>
              <w:rPr>
                <w:rFonts w:ascii="Arial" w:cs="Arial" w:eastAsia="Arial" w:hAnsi="Arial"/>
                <w:b/>
                <w:bCs/>
                <w:color w:val="B45309"/>
                <w:sz w:val="26"/>
                <w:szCs w:val="26"/>
              </w:rPr>
              <w:t xml:space="preserve">A text is not a confirmation</w:t>
            </w:r>
          </w:p>
          <w:p>
            <w:pPr>
              <w:spacing w:before="0" w:after="0"/>
            </w:pPr>
            <w:r>
              <w:rPr>
                <w:rFonts w:ascii="Arial" w:cs="Arial" w:eastAsia="Arial" w:hAnsi="Arial"/>
                <w:color w:val="334155"/>
                <w:sz w:val="24"/>
                <w:szCs w:val="24"/>
              </w:rPr>
              <w:t xml:space="preserve">A text message sent the day before an appointment is better than nothing. It is not a confirmation. A tenant who does not read texts, does not have credit, or whose first language is not English has not been confirmed by a text. For high-value or complex appointments, a voice call is the standard. Text confirmation is acceptable as a backup when a call cannot be completed.</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4. Access notes and vulnerability flags</w:t>
      </w:r>
    </w:p>
    <w:p>
      <w:pPr>
        <w:spacing w:before="80" w:after="140"/>
      </w:pPr>
      <w:r>
        <w:rPr>
          <w:rFonts w:ascii="Arial" w:cs="Arial" w:eastAsia="Arial" w:hAnsi="Arial"/>
          <w:color w:val="334155"/>
          <w:sz w:val="24"/>
          <w:szCs w:val="24"/>
        </w:rPr>
        <w:t xml:space="preserve">Many failed appointments are caused by access issues that were known in advance but not recorded against the job. The intercom is broken and the operative cannot get into the building. The tenant needs a carer present and the carer was not informed. The property has a dog that requires specific handling. None of this is new information — it was known from a previous visit — but it was not passed to the operative attending today's job.</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4.1  Access notes standard</w:t>
      </w:r>
    </w:p>
    <w:p>
      <w:pPr>
        <w:pStyle w:val="ListParagraph"/>
        <w:numPr>
          <w:ilvl w:val="0"/>
          <w:numId w:val="2"/>
        </w:numPr>
        <w:spacing w:before="60" w:after="80"/>
      </w:pPr>
      <w:r>
        <w:rPr>
          <w:rFonts w:ascii="Arial" w:cs="Arial" w:eastAsia="Arial" w:hAnsi="Arial"/>
          <w:color w:val="334155"/>
          <w:sz w:val="24"/>
          <w:szCs w:val="24"/>
        </w:rPr>
        <w:t xml:space="preserve">Every property with a known access consideration should have an access note recorded in the works management system, visible to the planner and the operative before attendance.</w:t>
      </w:r>
    </w:p>
    <w:p>
      <w:pPr>
        <w:pStyle w:val="ListParagraph"/>
        <w:numPr>
          <w:ilvl w:val="0"/>
          <w:numId w:val="2"/>
        </w:numPr>
        <w:spacing w:before="60" w:after="80"/>
      </w:pPr>
      <w:r>
        <w:rPr>
          <w:rFonts w:ascii="Arial" w:cs="Arial" w:eastAsia="Arial" w:hAnsi="Arial"/>
          <w:color w:val="334155"/>
          <w:sz w:val="24"/>
          <w:szCs w:val="24"/>
        </w:rPr>
        <w:t xml:space="preserve">Operatives should be briefed to report access issues at the end of every visit so they can be recorded for future visits.</w:t>
      </w:r>
    </w:p>
    <w:p>
      <w:pPr>
        <w:pStyle w:val="ListParagraph"/>
        <w:numPr>
          <w:ilvl w:val="0"/>
          <w:numId w:val="2"/>
        </w:numPr>
        <w:spacing w:before="60" w:after="80"/>
      </w:pPr>
      <w:r>
        <w:rPr>
          <w:rFonts w:ascii="Arial" w:cs="Arial" w:eastAsia="Arial" w:hAnsi="Arial"/>
          <w:color w:val="334155"/>
          <w:sz w:val="24"/>
          <w:szCs w:val="24"/>
        </w:rPr>
        <w:t xml:space="preserve">The supervisor should spot-check access note quality as part of the monthly data review — are failed appointments at the same address citing the same access issue repeatedly?</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4.2  Vulnerability flags</w:t>
      </w:r>
    </w:p>
    <w:p>
      <w:pPr>
        <w:spacing w:before="80" w:after="140"/>
      </w:pPr>
      <w:r>
        <w:rPr>
          <w:rFonts w:ascii="Arial" w:cs="Arial" w:eastAsia="Arial" w:hAnsi="Arial"/>
          <w:color w:val="334155"/>
          <w:sz w:val="24"/>
          <w:szCs w:val="24"/>
        </w:rPr>
        <w:t xml:space="preserve">Tenants with mental health conditions, cognitive impairment, hoarding disorders or other complex needs may struggle to manage the appointment process in the way the service assumes. They may agree to an appointment and then not answer the door. They may need longer notice periods, a specific time of day or a different communication method.</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 housing management team should flag vulnerable tenants in the works management system so that the planning team and operatives are aware before attendance. The supervisor's role is to ensure this information is being used — that operatives attending properties with vulnerability flags have been briefed, and that the flag is prompting a different approach rather than a standard confirmation call that does not reach the tenant.</w:t>
      </w:r>
    </w:p>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5. Operative accountability</w:t>
      </w:r>
    </w:p>
    <w:p>
      <w:pPr>
        <w:spacing w:before="80" w:after="140"/>
      </w:pPr>
      <w:r>
        <w:rPr>
          <w:rFonts w:ascii="Arial" w:cs="Arial" w:eastAsia="Arial" w:hAnsi="Arial"/>
          <w:color w:val="334155"/>
          <w:sz w:val="24"/>
          <w:szCs w:val="24"/>
        </w:rPr>
        <w:t xml:space="preserve">The planning and access note interventions address failed appointments caused by system and process failures. They do not address failed appointments caused by operative behaviour — operatives who leave before the appointment window has closed, who record no access without making a genuine attempt, or who in the most serious cases record a visit that did not happen.</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These are performance and conduct issues. They should be managed as such. The Abortive Visit Playbook covers the detailed approach to investigating and challenging no-access patterns. The Managing Operative Performance playbook covers the broader performance management framework. This section covers the specific application to failed appointment accountability.</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5.1  The data the supervisor needs</w:t>
      </w:r>
    </w:p>
    <w:p>
      <w:pPr>
        <w:pStyle w:val="ListParagraph"/>
        <w:numPr>
          <w:ilvl w:val="0"/>
          <w:numId w:val="2"/>
        </w:numPr>
        <w:spacing w:before="60" w:after="80"/>
      </w:pPr>
      <w:r>
        <w:rPr>
          <w:rFonts w:ascii="Arial" w:cs="Arial" w:eastAsia="Arial" w:hAnsi="Arial"/>
          <w:color w:val="334155"/>
          <w:sz w:val="24"/>
          <w:szCs w:val="24"/>
        </w:rPr>
        <w:t xml:space="preserve">Failed appointment rate by operative, over a rolling four-week period, compared to team average</w:t>
      </w:r>
    </w:p>
    <w:p>
      <w:pPr>
        <w:pStyle w:val="ListParagraph"/>
        <w:numPr>
          <w:ilvl w:val="0"/>
          <w:numId w:val="2"/>
        </w:numPr>
        <w:spacing w:before="60" w:after="80"/>
      </w:pPr>
      <w:r>
        <w:rPr>
          <w:rFonts w:ascii="Arial" w:cs="Arial" w:eastAsia="Arial" w:hAnsi="Arial"/>
          <w:color w:val="334155"/>
          <w:sz w:val="24"/>
          <w:szCs w:val="24"/>
        </w:rPr>
        <w:t xml:space="preserve">Time of recording for each failed appointment — was it recorded within the appointment window?</w:t>
      </w:r>
    </w:p>
    <w:p>
      <w:pPr>
        <w:pStyle w:val="ListParagraph"/>
        <w:numPr>
          <w:ilvl w:val="0"/>
          <w:numId w:val="2"/>
        </w:numPr>
        <w:spacing w:before="60" w:after="80"/>
      </w:pPr>
      <w:r>
        <w:rPr>
          <w:rFonts w:ascii="Arial" w:cs="Arial" w:eastAsia="Arial" w:hAnsi="Arial"/>
          <w:color w:val="334155"/>
          <w:sz w:val="24"/>
          <w:szCs w:val="24"/>
        </w:rPr>
        <w:t xml:space="preserve">Address history — has this address had repeated failed appointments, and with the same operative?</w:t>
      </w:r>
    </w:p>
    <w:p>
      <w:pPr>
        <w:pStyle w:val="ListParagraph"/>
        <w:numPr>
          <w:ilvl w:val="0"/>
          <w:numId w:val="2"/>
        </w:numPr>
        <w:spacing w:before="60" w:after="80"/>
      </w:pPr>
      <w:r>
        <w:rPr>
          <w:rFonts w:ascii="Arial" w:cs="Arial" w:eastAsia="Arial" w:hAnsi="Arial"/>
          <w:color w:val="334155"/>
          <w:sz w:val="24"/>
          <w:szCs w:val="24"/>
        </w:rPr>
        <w:t xml:space="preserve">Reason code distribution — are some operatives consistently recording no access while others at the same addresses are completing jobs?</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5.2  The conversation</w:t>
      </w:r>
    </w:p>
    <w:p>
      <w:pPr>
        <w:spacing w:before="80" w:after="140"/>
      </w:pPr>
      <w:r>
        <w:rPr>
          <w:rFonts w:ascii="Arial" w:cs="Arial" w:eastAsia="Arial" w:hAnsi="Arial"/>
          <w:color w:val="334155"/>
          <w:sz w:val="24"/>
          <w:szCs w:val="24"/>
        </w:rPr>
        <w:t xml:space="preserve">When the data shows a pattern that cannot be explained by external factors — a consistent outlier, recording times that precede the appointment window, no-access at addresses where other operatives gain entry — the supervisor needs to have a direct conversation.</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"Over the last four weeks you have recorded seven failed appointments. Three of them were recorded within the first twenty minutes of the appointment window, before the window had been open long enough to conclude the tenant was not home. I want to understand what was happening on those visits." That is a data-based question that requires a data-based answer.</w:t>
      </w:r>
    </w:p>
    <w:p>
      <w:pPr>
        <w:spacing w:before="0" w:after="8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0891B2" w:sz="16"/>
              <w:bottom w:val="none" w:color="FFFFFF" w:sz="0"/>
              <w:right w:val="none" w:color="FFFFFF" w:sz="0"/>
            </w:tcBorders>
            <w:shd w:fill="E0F2FE" w:val="clear"/>
            <w:tcMar>
              <w:top w:type="dxa" w:w="160"/>
              <w:left w:type="dxa" w:w="240"/>
              <w:bottom w:type="dxa" w:w="160"/>
              <w:right w:type="dxa" w:w="200"/>
            </w:tcMar>
          </w:tcPr>
          <w:p>
            <w:pPr>
              <w:spacing w:before="0" w:after="80"/>
            </w:pPr>
            <w:r>
              <w:rPr>
                <w:rFonts w:ascii="Arial" w:cs="Arial" w:eastAsia="Arial" w:hAnsi="Arial"/>
                <w:b/>
                <w:bCs/>
                <w:color w:val="0E7490"/>
                <w:sz w:val="26"/>
                <w:szCs w:val="26"/>
              </w:rPr>
              <w:t xml:space="preserve">Document the pattern before the conversation</w:t>
            </w:r>
          </w:p>
          <w:p>
            <w:pPr>
              <w:spacing w:before="0" w:after="0"/>
            </w:pPr>
            <w:r>
              <w:rPr>
                <w:rFonts w:ascii="Arial" w:cs="Arial" w:eastAsia="Arial" w:hAnsi="Arial"/>
                <w:color w:val="334155"/>
                <w:sz w:val="24"/>
                <w:szCs w:val="24"/>
              </w:rPr>
              <w:t xml:space="preserve">Before having the accountability conversation, pull the specific job records. Know the dates, addresses, recording times and reason codes. An operative who is challenged with vague concerns about their failed appointment rate can deflect. An operative who is shown specific job records with specific times cannot.</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6. Repeat non-availability — the joint intervention</w:t>
      </w:r>
    </w:p>
    <w:p>
      <w:pPr>
        <w:spacing w:before="80" w:after="140"/>
      </w:pPr>
      <w:r>
        <w:rPr>
          <w:rFonts w:ascii="Arial" w:cs="Arial" w:eastAsia="Arial" w:hAnsi="Arial"/>
          <w:color w:val="334155"/>
          <w:sz w:val="24"/>
          <w:szCs w:val="24"/>
        </w:rPr>
        <w:t xml:space="preserve">Some failed appointments are caused by tenants who consistently do not make themselves available for maintenance visits. This is not an operative performance issue and it is not primarily a planning issue. It is a tenancy management issue that requires a joint response between the maintenance supervisor and the housing management team.</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6.1  Identifying repeat non-availability</w:t>
      </w:r>
    </w:p>
    <w:p>
      <w:pPr>
        <w:spacing w:before="80" w:after="140"/>
      </w:pPr>
      <w:r>
        <w:rPr>
          <w:rFonts w:ascii="Arial" w:cs="Arial" w:eastAsia="Arial" w:hAnsi="Arial"/>
          <w:color w:val="334155"/>
          <w:sz w:val="24"/>
          <w:szCs w:val="24"/>
        </w:rPr>
        <w:t xml:space="preserve">A property that has had three or more failed appointments within a twelve-month period should be flagged for a joint review. The supervisor should raise this with the housing officer responsible for the property and share the appointment history. The housing officer's knowledge of the tenant's circumstances — vulnerability, life situation, relationship with the landlord — will inform how the situation is approached.</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6.2  The joint response options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800"/>
        <w:gridCol w:w="6838"/>
      </w:tblGrid>
      <w:tr>
        <w:trPr>
          <w:tblHeader/>
        </w:trPr>
        <w:tc>
          <w:tcPr>
            <w:tcW w:type="dxa" w:w="28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Approach</w:t>
            </w:r>
          </w:p>
        </w:tc>
        <w:tc>
          <w:tcPr>
            <w:tcW w:type="dxa" w:w="6838"/>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When to use it</w:t>
            </w:r>
          </w:p>
        </w:tc>
      </w:tr>
      <w:tr>
        <w:tc>
          <w:tcPr>
            <w:tcW w:type="dxa" w:w="2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Joint visit</w:t>
            </w:r>
          </w:p>
        </w:tc>
        <w:tc>
          <w:tcPr>
            <w:tcW w:type="dxa" w:w="68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Housing officer and maintenance supervisor attend together. Reduces the likelihood of non-access and allows a direct conversation about the maintenance obligation.</w:t>
            </w:r>
          </w:p>
        </w:tc>
      </w:tr>
      <w:tr>
        <w:tc>
          <w:tcPr>
            <w:tcW w:type="dxa" w:w="2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Pre-arranged access</w:t>
            </w:r>
          </w:p>
        </w:tc>
        <w:tc>
          <w:tcPr>
            <w:tcW w:type="dxa" w:w="68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 specific arrangement is made in advance — key safe code, carer present, neighbour to facilitate entry. Agreed with the tenant directly.</w:t>
            </w:r>
          </w:p>
        </w:tc>
      </w:tr>
      <w:tr>
        <w:tc>
          <w:tcPr>
            <w:tcW w:type="dxa" w:w="2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Formal notice</w:t>
            </w:r>
          </w:p>
        </w:tc>
        <w:tc>
          <w:tcPr>
            <w:tcW w:type="dxa" w:w="68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Where the tenant has a contractual obligation to allow access for essential maintenance and is not complying, a formal notice may be required. Legal advice should be sought. Not the supervisor's decision to make alone.</w:t>
            </w:r>
          </w:p>
        </w:tc>
      </w:tr>
      <w:tr>
        <w:tc>
          <w:tcPr>
            <w:tcW w:type="dxa" w:w="2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Welfare referral</w:t>
            </w:r>
          </w:p>
        </w:tc>
        <w:tc>
          <w:tcPr>
            <w:tcW w:type="dxa" w:w="68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Where repeated non-availability may indicate a safeguarding concern, refer to the Safeguarding for Maintenance Supervisors playbook.</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7. KPIs and monthly review</w:t>
      </w:r>
    </w:p>
    <w:p>
      <w:pPr>
        <w:spacing w:before="80" w:after="140"/>
      </w:pPr>
      <w:r>
        <w:rPr>
          <w:rFonts w:ascii="Arial" w:cs="Arial" w:eastAsia="Arial" w:hAnsi="Arial"/>
          <w:color w:val="334155"/>
          <w:sz w:val="24"/>
          <w:szCs w:val="24"/>
        </w:rPr>
        <w:t xml:space="preserve">Failed appointments should be a standing item on the supervisor's monthly data review. The metrics to track and the questions to ask are straightforward.</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7.1  Metrics to track monthly</w:t>
      </w:r>
    </w:p>
    <w:p>
      <w:pPr>
        <w:pStyle w:val="ListParagraph"/>
        <w:numPr>
          <w:ilvl w:val="0"/>
          <w:numId w:val="2"/>
        </w:numPr>
        <w:spacing w:before="60" w:after="80"/>
      </w:pPr>
      <w:r>
        <w:rPr>
          <w:rFonts w:ascii="Arial" w:cs="Arial" w:eastAsia="Arial" w:hAnsi="Arial"/>
          <w:color w:val="334155"/>
          <w:sz w:val="24"/>
          <w:szCs w:val="24"/>
        </w:rPr>
        <w:t xml:space="preserve">Failed appointment rate — total failed appointments as a percentage of total appointments made</w:t>
      </w:r>
    </w:p>
    <w:p>
      <w:pPr>
        <w:pStyle w:val="ListParagraph"/>
        <w:numPr>
          <w:ilvl w:val="0"/>
          <w:numId w:val="2"/>
        </w:numPr>
        <w:spacing w:before="60" w:after="80"/>
      </w:pPr>
      <w:r>
        <w:rPr>
          <w:rFonts w:ascii="Arial" w:cs="Arial" w:eastAsia="Arial" w:hAnsi="Arial"/>
          <w:color w:val="334155"/>
          <w:sz w:val="24"/>
          <w:szCs w:val="24"/>
        </w:rPr>
        <w:t xml:space="preserve">Failed appointment rate by operative — identify outliers against team average</w:t>
      </w:r>
    </w:p>
    <w:p>
      <w:pPr>
        <w:pStyle w:val="ListParagraph"/>
        <w:numPr>
          <w:ilvl w:val="0"/>
          <w:numId w:val="2"/>
        </w:numPr>
        <w:spacing w:before="60" w:after="80"/>
      </w:pPr>
      <w:r>
        <w:rPr>
          <w:rFonts w:ascii="Arial" w:cs="Arial" w:eastAsia="Arial" w:hAnsi="Arial"/>
          <w:color w:val="334155"/>
          <w:sz w:val="24"/>
          <w:szCs w:val="24"/>
        </w:rPr>
        <w:t xml:space="preserve">Cause code distribution — no access, wrong address, operative did not attend, access issue, other</w:t>
      </w:r>
    </w:p>
    <w:p>
      <w:pPr>
        <w:pStyle w:val="ListParagraph"/>
        <w:numPr>
          <w:ilvl w:val="0"/>
          <w:numId w:val="2"/>
        </w:numPr>
        <w:spacing w:before="60" w:after="80"/>
      </w:pPr>
      <w:r>
        <w:rPr>
          <w:rFonts w:ascii="Arial" w:cs="Arial" w:eastAsia="Arial" w:hAnsi="Arial"/>
          <w:color w:val="334155"/>
          <w:sz w:val="24"/>
          <w:szCs w:val="24"/>
        </w:rPr>
        <w:t xml:space="preserve">Repeat addresses — number of properties with two or more failed appointments in the period</w:t>
      </w:r>
    </w:p>
    <w:p>
      <w:pPr>
        <w:pStyle w:val="ListParagraph"/>
        <w:numPr>
          <w:ilvl w:val="0"/>
          <w:numId w:val="2"/>
        </w:numPr>
        <w:spacing w:before="60" w:after="80"/>
      </w:pPr>
      <w:r>
        <w:rPr>
          <w:rFonts w:ascii="Arial" w:cs="Arial" w:eastAsia="Arial" w:hAnsi="Arial"/>
          <w:color w:val="334155"/>
          <w:sz w:val="24"/>
          <w:szCs w:val="24"/>
        </w:rPr>
        <w:t xml:space="preserve">Confirmation compliance — percentage of appointments with a recorded confirmation attempt</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7.2  Questions to ask at the monthly review</w:t>
      </w:r>
    </w:p>
    <w:p>
      <w:pPr>
        <w:pStyle w:val="ListParagraph"/>
        <w:numPr>
          <w:ilvl w:val="0"/>
          <w:numId w:val="3"/>
        </w:numPr>
        <w:spacing w:before="60" w:after="100"/>
      </w:pPr>
      <w:r>
        <w:rPr>
          <w:rFonts w:ascii="Arial" w:cs="Arial" w:eastAsia="Arial" w:hAnsi="Arial"/>
          <w:color w:val="334155"/>
          <w:sz w:val="24"/>
          <w:szCs w:val="24"/>
        </w:rPr>
        <w:t xml:space="preserve">Is the overall rate improving, static or worsening? What has changed?</w:t>
      </w:r>
    </w:p>
    <w:p>
      <w:pPr>
        <w:pStyle w:val="ListParagraph"/>
        <w:numPr>
          <w:ilvl w:val="0"/>
          <w:numId w:val="3"/>
        </w:numPr>
        <w:spacing w:before="60" w:after="100"/>
      </w:pPr>
      <w:r>
        <w:rPr>
          <w:rFonts w:ascii="Arial" w:cs="Arial" w:eastAsia="Arial" w:hAnsi="Arial"/>
          <w:color w:val="334155"/>
          <w:sz w:val="24"/>
          <w:szCs w:val="24"/>
        </w:rPr>
        <w:t xml:space="preserve">Which operative has the highest rate? Is this consistent or new?</w:t>
      </w:r>
    </w:p>
    <w:p>
      <w:pPr>
        <w:pStyle w:val="ListParagraph"/>
        <w:numPr>
          <w:ilvl w:val="0"/>
          <w:numId w:val="3"/>
        </w:numPr>
        <w:spacing w:before="60" w:after="100"/>
      </w:pPr>
      <w:r>
        <w:rPr>
          <w:rFonts w:ascii="Arial" w:cs="Arial" w:eastAsia="Arial" w:hAnsi="Arial"/>
          <w:color w:val="334155"/>
          <w:sz w:val="24"/>
          <w:szCs w:val="24"/>
        </w:rPr>
        <w:t xml:space="preserve">What is the most common cause code? Is it being addressed?</w:t>
      </w:r>
    </w:p>
    <w:p>
      <w:pPr>
        <w:pStyle w:val="ListParagraph"/>
        <w:numPr>
          <w:ilvl w:val="0"/>
          <w:numId w:val="3"/>
        </w:numPr>
        <w:spacing w:before="60" w:after="100"/>
      </w:pPr>
      <w:r>
        <w:rPr>
          <w:rFonts w:ascii="Arial" w:cs="Arial" w:eastAsia="Arial" w:hAnsi="Arial"/>
          <w:color w:val="334155"/>
          <w:sz w:val="24"/>
          <w:szCs w:val="24"/>
        </w:rPr>
        <w:t xml:space="preserve">Are any addresses appearing repeatedly? Have they been escalated to housing management?</w:t>
      </w:r>
    </w:p>
    <w:p>
      <w:pPr>
        <w:pStyle w:val="ListParagraph"/>
        <w:numPr>
          <w:ilvl w:val="0"/>
          <w:numId w:val="3"/>
        </w:numPr>
        <w:spacing w:before="60" w:after="100"/>
      </w:pPr>
      <w:r>
        <w:rPr>
          <w:rFonts w:ascii="Arial" w:cs="Arial" w:eastAsia="Arial" w:hAnsi="Arial"/>
          <w:color w:val="334155"/>
          <w:sz w:val="24"/>
          <w:szCs w:val="24"/>
        </w:rPr>
        <w:t xml:space="preserve">Is confirmation compliance at the expected level? If not, why not?</w:t>
      </w:r>
    </w:p>
    <w:p>
      <w:pPr>
        <w:spacing w:before="0" w:after="16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0891B2" w:sz="16"/>
              <w:bottom w:val="none" w:color="FFFFFF" w:sz="0"/>
              <w:right w:val="none" w:color="FFFFFF" w:sz="0"/>
            </w:tcBorders>
            <w:shd w:fill="E0F2FE" w:val="clear"/>
            <w:tcMar>
              <w:top w:type="dxa" w:w="160"/>
              <w:left w:type="dxa" w:w="240"/>
              <w:bottom w:type="dxa" w:w="160"/>
              <w:right w:type="dxa" w:w="200"/>
            </w:tcMar>
          </w:tcPr>
          <w:p>
            <w:pPr>
              <w:spacing w:before="0" w:after="80"/>
            </w:pPr>
            <w:r>
              <w:rPr>
                <w:rFonts w:ascii="Arial" w:cs="Arial" w:eastAsia="Arial" w:hAnsi="Arial"/>
                <w:b/>
                <w:bCs/>
                <w:color w:val="0E7490"/>
                <w:sz w:val="26"/>
                <w:szCs w:val="26"/>
              </w:rPr>
              <w:t xml:space="preserve">The goal</w:t>
            </w:r>
          </w:p>
          <w:p>
            <w:pPr>
              <w:spacing w:before="0" w:after="0"/>
            </w:pPr>
            <w:r>
              <w:rPr>
                <w:rFonts w:ascii="Arial" w:cs="Arial" w:eastAsia="Arial" w:hAnsi="Arial"/>
                <w:color w:val="334155"/>
                <w:sz w:val="24"/>
                <w:szCs w:val="24"/>
              </w:rPr>
              <w:t xml:space="preserve">A failed appointment rate below 3% of all appointments is achievable in a well-run DLO with consistent supervision. Most services operate at 8–12%. The gap between those two numbers represents a significant operational cost and a significant number of tenants whose repairs are taking longer than they need to. The supervisor who systematically works through the interventions in this playbook will close most of that gap within six months.</w:t>
            </w:r>
          </w:p>
        </w:tc>
      </w:tr>
    </w:tbl>
    <w:p>
      <w:pPr>
        <w:spacing w:before="0" w:after="200"/>
      </w:pPr>
      <w:r>
        <w:rPr>
          <w:rFonts w:ascii="Arial" w:cs="Arial" w:eastAsia="Arial" w:hAnsi="Arial"/>
          <w:color w:val="334155"/>
          <w:sz w:val="24"/>
          <w:szCs w:val="24"/>
        </w:rPr>
        <w:t xml:space="preserve"/>
      </w:r>
    </w:p>
    <w:p>
      <w:pPr>
        <w:pBdr>
          <w:top w:val="single" w:color="E2E8F0" w:sz="2" w:space="10"/>
        </w:pBdr>
        <w:spacing w:before="240" w:after="0"/>
      </w:pPr>
      <w:r>
        <w:rPr>
          <w:rFonts w:ascii="Arial" w:cs="Arial" w:eastAsia="Arial" w:hAnsi="Arial"/>
          <w:color w:val="94A3B8"/>
          <w:sz w:val="18"/>
          <w:szCs w:val="18"/>
        </w:rPr>
        <w:t xml:space="preserve">socialhousing.ai  ·  Supervisor Playbook Series  ·  The Failed Appointments Playbook  ·  March 2026  ·  Free to use and share</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80"/>
      <w:outlineLvl w:val="0"/>
    </w:pPr>
    <w:rPr>
      <w:rFonts w:ascii="Arial" w:cs="Arial" w:eastAsia="Arial" w:hAnsi="Arial"/>
      <w:b/>
      <w:bCs/>
      <w:color w:val="0A0F1E"/>
      <w:sz w:val="36"/>
      <w:szCs w:val="36"/>
    </w:rPr>
  </w:style>
  <w:style w:type="paragraph" w:styleId="Heading2">
    <w:name w:val="Heading 2"/>
    <w:basedOn w:val="Normal"/>
    <w:next w:val="Normal"/>
    <w:qFormat/>
    <w:pPr>
      <w:spacing w:before="280" w:after="120"/>
      <w:outlineLvl w:val="1"/>
    </w:pPr>
    <w:rPr>
      <w:rFonts w:ascii="Arial" w:cs="Arial" w:eastAsia="Arial" w:hAnsi="Arial"/>
      <w:b/>
      <w:bCs/>
      <w:color w:val="0E7490"/>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2026-03-20T22:16:52.182Z</dcterms:created>
  <dcterms:modified xsi:type="dcterms:W3CDTF">2026-03-20T22:16:52.183Z</dcterms:modified>
</cp:coreProperties>
</file>

<file path=docProps/custom.xml><?xml version="1.0" encoding="utf-8"?>
<Properties xmlns="http://schemas.openxmlformats.org/officeDocument/2006/custom-properties" xmlns:vt="http://schemas.openxmlformats.org/officeDocument/2006/docPropsVTypes"/>
</file>