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0F1E" w:val="clear"/>
            <w:tcMar>
              <w:top w:type="dxa" w:w="400"/>
              <w:left w:type="dxa" w:w="400"/>
              <w:bottom w:type="dxa" w:w="400"/>
              <w:right w:type="dxa" w:w="400"/>
            </w:tcMar>
          </w:tcPr>
          <w:p>
            <w:pPr>
              <w:spacing w:before="0" w:after="120"/>
              <w:jc w:val="center"/>
            </w:pPr>
            <w:r>
              <w:rPr>
                <w:rFonts w:ascii="Arial" w:cs="Arial" w:eastAsia="Arial" w:hAnsi="Arial"/>
                <w:b/>
                <w:bCs/>
                <w:color w:val="FFFFFF"/>
                <w:sz w:val="32"/>
                <w:szCs w:val="32"/>
              </w:rPr>
              <w:t xml:space="preserve">socialhousing.ai</w:t>
            </w:r>
          </w:p>
          <w:p>
            <w:pPr>
              <w:spacing w:before="0" w:after="240"/>
              <w:jc w:val="center"/>
            </w:pPr>
            <w:r>
              <w:rPr>
                <w:rFonts w:ascii="Arial" w:cs="Arial" w:eastAsia="Arial" w:hAnsi="Arial"/>
                <w:color w:val="94A3B8"/>
                <w:spacing w:val="80"/>
                <w:sz w:val="18"/>
                <w:szCs w:val="18"/>
              </w:rPr>
              <w:t xml:space="preserve">SUPERVISOR PLAYBOOK SERIES</w:t>
            </w:r>
          </w:p>
          <w:p>
            <w:pPr>
              <w:spacing w:before="0" w:after="80"/>
              <w:jc w:val="center"/>
            </w:pPr>
            <w:r>
              <w:rPr>
                <w:rFonts w:ascii="Arial" w:cs="Arial" w:eastAsia="Arial" w:hAnsi="Arial"/>
                <w:b/>
                <w:bCs/>
                <w:color w:val="FFFFFF"/>
                <w:sz w:val="44"/>
                <w:szCs w:val="44"/>
              </w:rPr>
              <w:t xml:space="preserve">Electrical Safety and EICR</w:t>
            </w:r>
          </w:p>
          <w:p>
            <w:pPr>
              <w:spacing w:before="0" w:after="240"/>
              <w:jc w:val="center"/>
            </w:pPr>
            <w:r>
              <w:rPr>
                <w:rFonts w:ascii="Arial" w:cs="Arial" w:eastAsia="Arial" w:hAnsi="Arial"/>
                <w:b/>
                <w:bCs/>
                <w:color w:val="22D3EE"/>
                <w:sz w:val="36"/>
                <w:szCs w:val="36"/>
              </w:rPr>
              <w:t xml:space="preserve">What Supervisors Own</w:t>
            </w:r>
          </w:p>
          <w:p>
            <w:pPr>
              <w:spacing w:before="0" w:after="240"/>
              <w:jc w:val="center"/>
            </w:pPr>
            <w:r>
              <w:rPr>
                <w:rFonts w:ascii="Arial" w:cs="Arial" w:eastAsia="Arial" w:hAnsi="Arial"/>
                <w:color w:val="CBD5E1"/>
                <w:sz w:val="22"/>
                <w:szCs w:val="22"/>
              </w:rPr>
              <w:t xml:space="preserve">The EICR codes, the 28-day clock, programme management and day-to-day electrical safety</w:t>
            </w:r>
          </w:p>
          <w:p>
            <w:pPr>
              <w:spacing w:before="0" w:after="80"/>
              <w:jc w:val="center"/>
            </w:pPr>
            <w:r>
              <w:rPr>
                <w:rFonts w:ascii="Arial" w:cs="Arial" w:eastAsia="Arial" w:hAnsi="Arial"/>
                <w:color w:val="64748B"/>
                <w:sz w:val="18"/>
                <w:szCs w:val="18"/>
              </w:rPr>
              <w:t xml:space="preserve">Compliance &amp; Regulation Series · socialhousing.ai</w:t>
            </w:r>
          </w:p>
          <w:p>
            <w:pPr>
              <w:spacing w:before="0" w:after="0"/>
              <w:jc w:val="center"/>
            </w:pPr>
            <w:r>
              <w:rPr>
                <w:rFonts w:ascii="Arial" w:cs="Arial" w:eastAsia="Arial" w:hAnsi="Arial"/>
                <w:color w:val="64748B"/>
                <w:sz w:val="18"/>
                <w:szCs w:val="18"/>
              </w:rPr>
              <w:t xml:space="preserve">March 2026 · Free to use and share · socialhousing.ai</w:t>
            </w:r>
          </w:p>
        </w:tc>
      </w:tr>
    </w:tbl>
    <w:p>
      <w:pPr>
        <w:spacing w:before="0" w:after="240"/>
      </w:pPr>
    </w:p>
    <w:p>
      <w:pPr>
        <w:spacing w:before="0" w:after="100"/>
      </w:pPr>
      <w:r>
        <w:rPr>
          <w:rFonts w:ascii="Arial" w:cs="Arial" w:eastAsia="Arial" w:hAnsi="Arial"/>
          <w:b/>
          <w:bCs/>
          <w:color w:val="111827"/>
          <w:sz w:val="24"/>
          <w:szCs w:val="24"/>
        </w:rPr>
        <w:t xml:space="preserve">About this playbook</w:t>
      </w:r>
    </w:p>
    <w:p>
      <w:pPr>
        <w:spacing w:before="0" w:after="120"/>
      </w:pPr>
      <w:r>
        <w:rPr>
          <w:rFonts w:ascii="Arial" w:cs="Arial" w:eastAsia="Arial" w:hAnsi="Arial"/>
          <w:color w:val="111827"/>
          <w:sz w:val="22"/>
          <w:szCs w:val="22"/>
        </w:rPr>
        <w:t xml:space="preserve">Electrical safety in social housing has three components that supervisors need to manage: the five-year EICR programme, the 28-day remediation clock when codes are identified, and day-to-day electrical safety in responsive repairs. This playbook covers all three in plain language.</w:t>
      </w:r>
    </w:p>
    <w:p>
      <w:pPr>
        <w:spacing w:before="0" w:after="120"/>
      </w:pPr>
      <w:r>
        <w:rPr>
          <w:rFonts w:ascii="Arial" w:cs="Arial" w:eastAsia="Arial" w:hAnsi="Arial"/>
          <w:color w:val="111827"/>
          <w:sz w:val="22"/>
          <w:szCs w:val="22"/>
        </w:rPr>
        <w:t xml:space="preserve">The EICR codes, the timescales and the programme management principles are here. The legislative background is at the end for reference. Start with Section 1 — the codes table and timelines are the things most likely to be needed first.</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Free to use, free to share, free to adapt</w:t>
            </w:r>
          </w:p>
          <w:p>
            <w:pPr>
              <w:spacing w:before="0" w:after="0"/>
            </w:pPr>
            <w:r>
              <w:rPr>
                <w:rFonts w:ascii="Arial" w:cs="Arial" w:eastAsia="Arial" w:hAnsi="Arial"/>
                <w:color w:val="78350F"/>
                <w:sz w:val="20"/>
                <w:szCs w:val="20"/>
              </w:rPr>
              <w:t xml:space="preserve">No login required. socialhousing.ai</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1. EICR codes — what they mean and what you do</w:t>
      </w:r>
    </w:p>
    <w:p>
      <w:pPr>
        <w:spacing w:before="0" w:after="120"/>
      </w:pPr>
      <w:r>
        <w:rPr>
          <w:rFonts w:ascii="Arial" w:cs="Arial" w:eastAsia="Arial" w:hAnsi="Arial"/>
          <w:color w:val="111827"/>
          <w:sz w:val="22"/>
          <w:szCs w:val="22"/>
        </w:rPr>
        <w:t xml:space="preserve">The electrician carries out the inspection and assigns the codes. The supervisor owns the operational response — making sure remedial works are raised promptly, tracking the 28-day window and managing access for properties where inspections are failing.</w:t>
      </w:r>
    </w:p>
    <w:p>
      <w:pPr>
        <w:spacing w:before="0" w:after="120"/>
      </w:pPr>
      <w:r>
        <w:rPr>
          <w:rFonts w:ascii="Arial" w:cs="Arial" w:eastAsia="Arial" w:hAnsi="Arial"/>
          <w:color w:val="111827"/>
          <w:sz w:val="22"/>
          <w:szCs w:val="22"/>
        </w:rPr>
        <w:t xml:space="preserve">The table below is the core of this playbook. Know what each code requires and the timescale it carries.</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Code</w:t>
            </w:r>
          </w:p>
        </w:tc>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What it means</w:t>
            </w:r>
          </w:p>
        </w:tc>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What you do</w:t>
            </w:r>
          </w:p>
        </w:tc>
      </w:tr>
      <w:tr>
        <w:tc>
          <w:tcPr>
            <w:tcBorders>
              <w:top w:val="single" w:color="E5E7EB" w:sz="2"/>
              <w:left w:val="single" w:color="E5E7EB" w:sz="2"/>
              <w:bottom w:val="single" w:color="E5E7EB" w:sz="2"/>
              <w:right w:val="single" w:color="E5E7EB" w:sz="2"/>
            </w:tcBorders>
            <w:shd w:fill="FEF2F2" w:val="clear"/>
            <w:tcMar>
              <w:top w:type="dxa" w:w="100"/>
              <w:left w:type="dxa" w:w="140"/>
              <w:bottom w:type="dxa" w:w="100"/>
              <w:right w:type="dxa" w:w="140"/>
            </w:tcMar>
          </w:tcPr>
          <w:p>
            <w:r>
              <w:rPr>
                <w:rFonts w:ascii="Arial" w:cs="Arial" w:eastAsia="Arial" w:hAnsi="Arial"/>
                <w:b/>
                <w:bCs/>
                <w:color w:val="991B1B"/>
                <w:sz w:val="20"/>
                <w:szCs w:val="20"/>
              </w:rPr>
              <w:t xml:space="preserve">C1 — Danger present</w:t>
            </w:r>
          </w:p>
        </w:tc>
        <w:tc>
          <w:tcPr>
            <w:tcBorders>
              <w:top w:val="single" w:color="E5E7EB" w:sz="2"/>
              <w:left w:val="single" w:color="E5E7EB" w:sz="2"/>
              <w:bottom w:val="single" w:color="E5E7EB" w:sz="2"/>
              <w:right w:val="single" w:color="E5E7EB" w:sz="2"/>
            </w:tcBorders>
            <w:shd w:fill="FEF2F2" w:val="clear"/>
            <w:tcMar>
              <w:top w:type="dxa" w:w="100"/>
              <w:left w:type="dxa" w:w="140"/>
              <w:bottom w:type="dxa" w:w="100"/>
              <w:right w:type="dxa" w:w="140"/>
            </w:tcMar>
          </w:tcPr>
          <w:p>
            <w:r>
              <w:rPr>
                <w:rFonts w:ascii="Arial" w:cs="Arial" w:eastAsia="Arial" w:hAnsi="Arial"/>
                <w:color w:val="111827"/>
                <w:sz w:val="20"/>
                <w:szCs w:val="20"/>
              </w:rPr>
              <w:t xml:space="preserve">Immediate risk of injury. Inspector must make safe at point of inspection where practicable.</w:t>
            </w:r>
          </w:p>
        </w:tc>
        <w:tc>
          <w:tcPr>
            <w:tcBorders>
              <w:top w:val="single" w:color="E5E7EB" w:sz="2"/>
              <w:left w:val="single" w:color="E5E7EB" w:sz="2"/>
              <w:bottom w:val="single" w:color="E5E7EB" w:sz="2"/>
              <w:right w:val="single" w:color="E5E7EB" w:sz="2"/>
            </w:tcBorders>
            <w:shd w:fill="FEF2F2" w:val="clear"/>
            <w:tcMar>
              <w:top w:type="dxa" w:w="100"/>
              <w:left w:type="dxa" w:w="140"/>
              <w:bottom w:type="dxa" w:w="100"/>
              <w:right w:type="dxa" w:w="140"/>
            </w:tcMar>
          </w:tcPr>
          <w:p>
            <w:r>
              <w:rPr>
                <w:rFonts w:ascii="Arial" w:cs="Arial" w:eastAsia="Arial" w:hAnsi="Arial"/>
                <w:color w:val="111827"/>
                <w:sz w:val="20"/>
                <w:szCs w:val="20"/>
              </w:rPr>
              <w:t xml:space="preserve">Immediate works instruction. Remediation within 28 days — sooner if the C1 cannot be made safe on site. New EICR after remediation.</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b/>
                <w:bCs/>
                <w:color w:val="92400E"/>
                <w:sz w:val="20"/>
                <w:szCs w:val="20"/>
              </w:rPr>
              <w:t xml:space="preserve">C2 — Potentially dangerous</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Risk present but not immediate. Deterioration could lead to danger.</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Works instruction within 28 days of inspection date. New EICR required after remediation to confirm the issue is resolved.</w:t>
            </w:r>
          </w:p>
        </w:tc>
      </w:tr>
      <w:tr>
        <w:tc>
          <w:tcPr>
            <w:tcBorders>
              <w:top w:val="single" w:color="E5E7EB" w:sz="2"/>
              <w:left w:val="single" w:color="E5E7EB" w:sz="2"/>
              <w:bottom w:val="single" w:color="E5E7EB" w:sz="2"/>
              <w:right w:val="single" w:color="E5E7EB" w:sz="2"/>
            </w:tcBorders>
            <w:shd w:fill="F0FDF4" w:val="clear"/>
            <w:tcMar>
              <w:top w:type="dxa" w:w="100"/>
              <w:left w:type="dxa" w:w="140"/>
              <w:bottom w:type="dxa" w:w="100"/>
              <w:right w:type="dxa" w:w="140"/>
            </w:tcMar>
          </w:tcPr>
          <w:p>
            <w:r>
              <w:rPr>
                <w:rFonts w:ascii="Arial" w:cs="Arial" w:eastAsia="Arial" w:hAnsi="Arial"/>
                <w:b/>
                <w:bCs/>
                <w:color w:val="166534"/>
                <w:sz w:val="20"/>
                <w:szCs w:val="20"/>
              </w:rPr>
              <w:t xml:space="preserve">C3 — Improvement recommended</w:t>
            </w:r>
          </w:p>
        </w:tc>
        <w:tc>
          <w:tcPr>
            <w:tcBorders>
              <w:top w:val="single" w:color="E5E7EB" w:sz="2"/>
              <w:left w:val="single" w:color="E5E7EB" w:sz="2"/>
              <w:bottom w:val="single" w:color="E5E7EB" w:sz="2"/>
              <w:right w:val="single" w:color="E5E7EB" w:sz="2"/>
            </w:tcBorders>
            <w:shd w:fill="F0FDF4" w:val="clear"/>
            <w:tcMar>
              <w:top w:type="dxa" w:w="100"/>
              <w:left w:type="dxa" w:w="140"/>
              <w:bottom w:type="dxa" w:w="100"/>
              <w:right w:type="dxa" w:w="140"/>
            </w:tcMar>
          </w:tcPr>
          <w:p>
            <w:r>
              <w:rPr>
                <w:rFonts w:ascii="Arial" w:cs="Arial" w:eastAsia="Arial" w:hAnsi="Arial"/>
                <w:color w:val="111827"/>
                <w:sz w:val="20"/>
                <w:szCs w:val="20"/>
              </w:rPr>
              <w:t xml:space="preserve">Not dangerous, but improvement would increase safety or performance.</w:t>
            </w:r>
          </w:p>
        </w:tc>
        <w:tc>
          <w:tcPr>
            <w:tcBorders>
              <w:top w:val="single" w:color="E5E7EB" w:sz="2"/>
              <w:left w:val="single" w:color="E5E7EB" w:sz="2"/>
              <w:bottom w:val="single" w:color="E5E7EB" w:sz="2"/>
              <w:right w:val="single" w:color="E5E7EB" w:sz="2"/>
            </w:tcBorders>
            <w:shd w:fill="F0FDF4" w:val="clear"/>
            <w:tcMar>
              <w:top w:type="dxa" w:w="100"/>
              <w:left w:type="dxa" w:w="140"/>
              <w:bottom w:type="dxa" w:w="100"/>
              <w:right w:type="dxa" w:w="140"/>
            </w:tcMar>
          </w:tcPr>
          <w:p>
            <w:r>
              <w:rPr>
                <w:rFonts w:ascii="Arial" w:cs="Arial" w:eastAsia="Arial" w:hAnsi="Arial"/>
                <w:color w:val="111827"/>
                <w:sz w:val="20"/>
                <w:szCs w:val="20"/>
              </w:rPr>
              <w:t xml:space="preserve">No mandatory timescale, but should be programmed. Does not prevent certificate issue. Track and plan — do not ignore.</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b/>
                <w:bCs/>
                <w:color w:val="1E3A8A"/>
                <w:sz w:val="20"/>
                <w:szCs w:val="20"/>
              </w:rPr>
              <w:t xml:space="preserve">FI — Further investigation</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Inspector could not reach a definitive conclusion without further work.</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Treat as C2 pending investigation. Investigation must be completed within the 28-day window, not left open-ended.</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b/>
                <w:bCs/>
                <w:color w:val="374151"/>
                <w:sz w:val="20"/>
                <w:szCs w:val="20"/>
              </w:rPr>
              <w:t xml:space="preserve">Satisfactory</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Installation meets required standard.</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File the certificate. Set the five-year renewal date in your system now, while you have the document in front of you.</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28-day clock starts on inspection day — not when you raise the works instruction</w:t>
            </w:r>
          </w:p>
          <w:p>
            <w:pPr>
              <w:spacing w:before="0" w:after="0"/>
            </w:pPr>
            <w:r>
              <w:rPr>
                <w:rFonts w:ascii="Arial" w:cs="Arial" w:eastAsia="Arial" w:hAnsi="Arial"/>
                <w:color w:val="78350F"/>
                <w:sz w:val="20"/>
                <w:szCs w:val="20"/>
              </w:rPr>
              <w:t xml:space="preserve">This is the most common source of compliance drift. A C1 or C2 identified on 1 March must have remediation complete by 29 March — regardless of when the job lands in the queue. Raise the works instruction on the day you receive the EICR.</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2. Key timelines at a glance</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Event</w:t>
            </w:r>
          </w:p>
        </w:tc>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Deadline</w:t>
            </w:r>
          </w:p>
        </w:tc>
        <w:tc>
          <w:tcPr>
            <w:tcBorders>
              <w:top w:val="single" w:color="9CA3AF" w:sz="4"/>
              <w:left w:val="single" w:color="9CA3AF" w:sz="4"/>
              <w:bottom w:val="single" w:color="9CA3AF" w:sz="4"/>
              <w:right w:val="single" w:color="9CA3AF" w:sz="4"/>
            </w:tcBorders>
            <w:shd w:fill="374151" w:val="clear"/>
            <w:tcMar>
              <w:top w:type="dxa" w:w="100"/>
              <w:left w:type="dxa" w:w="140"/>
              <w:bottom w:type="dxa" w:w="100"/>
              <w:right w:type="dxa" w:w="140"/>
            </w:tcMar>
          </w:tcPr>
          <w:p>
            <w:r>
              <w:rPr>
                <w:rFonts w:ascii="Arial" w:cs="Arial" w:eastAsia="Arial" w:hAnsi="Arial"/>
                <w:b/>
                <w:bCs/>
                <w:color w:val="FFFFFF"/>
                <w:sz w:val="20"/>
                <w:szCs w:val="20"/>
              </w:rPr>
              <w:t xml:space="preserve">Note</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Inspection carried out</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Day 0</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Clock starts here — not when you raise the works instruction.</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C1 / C2 remediation deadline</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Day 28</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Works must be complete. Not started — complete.</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FI investigation deadline</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Day 28</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Treat as C2. Investigation must conclude within this window.</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Tenant copy of EICR</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Day 28</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Documentation obligation, separate from the works obligation.</w:t>
            </w:r>
          </w:p>
        </w:tc>
      </w:tr>
      <w:tr>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Post-remediation EICR</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After C1/C2 works</w:t>
            </w:r>
          </w:p>
        </w:tc>
        <w:tc>
          <w:tcPr>
            <w:tcBorders>
              <w:top w:val="single" w:color="E5E7EB" w:sz="2"/>
              <w:left w:val="single" w:color="E5E7EB" w:sz="2"/>
              <w:bottom w:val="single" w:color="E5E7EB" w:sz="2"/>
              <w:right w:val="single" w:color="E5E7EB" w:sz="2"/>
            </w:tcBorders>
            <w:shd w:fill="FFFFFF" w:val="clear"/>
            <w:tcMar>
              <w:top w:type="dxa" w:w="100"/>
              <w:left w:type="dxa" w:w="140"/>
              <w:bottom w:type="dxa" w:w="100"/>
              <w:right w:type="dxa" w:w="140"/>
            </w:tcMar>
          </w:tcPr>
          <w:p>
            <w:r>
              <w:rPr>
                <w:rFonts w:ascii="Arial" w:cs="Arial" w:eastAsia="Arial" w:hAnsi="Arial"/>
                <w:color w:val="111827"/>
                <w:sz w:val="20"/>
                <w:szCs w:val="20"/>
              </w:rPr>
              <w:t xml:space="preserve">Confirms the issue is resolved. Required before the property is signed off as compliant.</w:t>
            </w:r>
          </w:p>
        </w:tc>
      </w:tr>
      <w:tr>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Next inspection due</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5 years from satisfactory EICR</w:t>
            </w:r>
          </w:p>
        </w:tc>
        <w:tc>
          <w:tcPr>
            <w:tcBorders>
              <w:top w:val="single" w:color="E5E7EB" w:sz="2"/>
              <w:left w:val="single" w:color="E5E7EB" w:sz="2"/>
              <w:bottom w:val="single" w:color="E5E7EB" w:sz="2"/>
              <w:right w:val="single" w:color="E5E7EB" w:sz="2"/>
            </w:tcBorders>
            <w:shd w:fill="F3F4F6" w:val="clear"/>
            <w:tcMar>
              <w:top w:type="dxa" w:w="100"/>
              <w:left w:type="dxa" w:w="140"/>
              <w:bottom w:type="dxa" w:w="100"/>
              <w:right w:type="dxa" w:w="140"/>
            </w:tcMar>
          </w:tcPr>
          <w:p>
            <w:r>
              <w:rPr>
                <w:rFonts w:ascii="Arial" w:cs="Arial" w:eastAsia="Arial" w:hAnsi="Arial"/>
                <w:color w:val="111827"/>
                <w:sz w:val="20"/>
                <w:szCs w:val="20"/>
              </w:rPr>
              <w:t xml:space="preserve">Set the renewal date in your system on the day you file the certificate.</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tenant must receive a copy of the EICR within 28 days</w:t>
            </w:r>
          </w:p>
          <w:p>
            <w:pPr>
              <w:spacing w:before="0" w:after="0"/>
            </w:pPr>
            <w:r>
              <w:rPr>
                <w:rFonts w:ascii="Arial" w:cs="Arial" w:eastAsia="Arial" w:hAnsi="Arial"/>
                <w:color w:val="78350F"/>
                <w:sz w:val="20"/>
                <w:szCs w:val="20"/>
              </w:rPr>
              <w:t xml:space="preserve">This is a separate obligation from the remediation requirement. Even if no remedial codes were identified, the tenant is entitled to their copy of the report. Build this into your closing process for every EICR — not as an afterthought when the works are done.</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3. Managing the five-year programme</w:t>
      </w:r>
    </w:p>
    <w:p>
      <w:pPr>
        <w:spacing w:before="0" w:after="120"/>
      </w:pPr>
      <w:r>
        <w:rPr>
          <w:rFonts w:ascii="Arial" w:cs="Arial" w:eastAsia="Arial" w:hAnsi="Arial"/>
          <w:color w:val="111827"/>
          <w:sz w:val="22"/>
          <w:szCs w:val="22"/>
        </w:rPr>
        <w:t xml:space="preserve">Gas safety runs on an annual cycle — it is visible, regular, and hard to miss. EICRs run on a five-year cycle, which makes them easier to lose track of. A property that had a satisfactory EICR four years ago is approaching its renewal date with none of the urgency that a gas certificate expiring next month would generate. That is how the programme drifts.</w:t>
      </w:r>
    </w:p>
    <w:p>
      <w:pPr>
        <w:spacing w:before="0" w:after="80"/>
      </w:pPr>
    </w:p>
    <w:p>
      <w:pPr>
        <w:pStyle w:val="Heading2"/>
        <w:spacing w:before="240" w:after="120"/>
      </w:pPr>
      <w:r>
        <w:rPr>
          <w:rFonts w:ascii="Arial" w:cs="Arial" w:eastAsia="Arial" w:hAnsi="Arial"/>
          <w:b/>
          <w:bCs/>
          <w:color w:val="111827"/>
          <w:sz w:val="26"/>
          <w:szCs w:val="26"/>
        </w:rPr>
        <w:t xml:space="preserve">3.1 Treat EICR expiry dates the same as gas</w:t>
      </w:r>
    </w:p>
    <w:p>
      <w:pPr>
        <w:spacing w:before="0" w:after="120"/>
      </w:pPr>
      <w:r>
        <w:rPr>
          <w:rFonts w:ascii="Arial" w:cs="Arial" w:eastAsia="Arial" w:hAnsi="Arial"/>
          <w:color w:val="111827"/>
          <w:sz w:val="22"/>
          <w:szCs w:val="22"/>
        </w:rPr>
        <w:t xml:space="preserve">The planner and supervisor should have the same visibility of EICR expiry dates as gas safety renewal dates. A property approaching five years without a booked inspection appointment is a compliance risk. The access and follow-up process starts at least ten weeks before the expiry date — the same discipline as gas safety.</w:t>
      </w:r>
    </w:p>
    <w:p>
      <w:pPr>
        <w:spacing w:before="0" w:after="120"/>
      </w:pPr>
    </w:p>
    <w:p>
      <w:pPr>
        <w:pStyle w:val="Heading2"/>
        <w:spacing w:before="240" w:after="120"/>
      </w:pPr>
      <w:r>
        <w:rPr>
          <w:rFonts w:ascii="Arial" w:cs="Arial" w:eastAsia="Arial" w:hAnsi="Arial"/>
          <w:b/>
          <w:bCs/>
          <w:color w:val="111827"/>
          <w:sz w:val="26"/>
          <w:szCs w:val="26"/>
        </w:rPr>
        <w:t xml:space="preserve">3.2 Access failures — escalate, do not accept</w:t>
      </w:r>
    </w:p>
    <w:p>
      <w:pPr>
        <w:spacing w:before="0" w:after="120"/>
      </w:pPr>
      <w:r>
        <w:rPr>
          <w:rFonts w:ascii="Arial" w:cs="Arial" w:eastAsia="Arial" w:hAnsi="Arial"/>
          <w:color w:val="111827"/>
          <w:sz w:val="22"/>
          <w:szCs w:val="22"/>
        </w:rPr>
        <w:t xml:space="preserve">A tenant who will not allow access for an EICR is a compliance problem. The enforcement route for EICRs is civil rather than criminal — unlike gas safety — but the management process is identical: multiple documented contact attempts, escalating through the protocol, legal process if access is persistently refused.</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First appointment letter: at least ten weeks before expiry</w:t>
      </w:r>
    </w:p>
    <w:p>
      <w:pPr>
        <w:pStyle w:val="ListParagraph"/>
        <w:numPr>
          <w:ilvl w:val="0"/>
          <w:numId w:val="2"/>
        </w:numPr>
        <w:spacing w:before="0" w:after="80"/>
      </w:pPr>
      <w:r>
        <w:rPr>
          <w:rFonts w:ascii="Arial" w:cs="Arial" w:eastAsia="Arial" w:hAnsi="Arial"/>
          <w:color w:val="111827"/>
          <w:sz w:val="22"/>
          <w:szCs w:val="22"/>
        </w:rPr>
        <w:t xml:space="preserve">Reminder and follow-up: six weeks before expiry</w:t>
      </w:r>
    </w:p>
    <w:p>
      <w:pPr>
        <w:pStyle w:val="ListParagraph"/>
        <w:numPr>
          <w:ilvl w:val="0"/>
          <w:numId w:val="2"/>
        </w:numPr>
        <w:spacing w:before="0" w:after="80"/>
      </w:pPr>
      <w:r>
        <w:rPr>
          <w:rFonts w:ascii="Arial" w:cs="Arial" w:eastAsia="Arial" w:hAnsi="Arial"/>
          <w:color w:val="111827"/>
          <w:sz w:val="22"/>
          <w:szCs w:val="22"/>
        </w:rPr>
        <w:t xml:space="preserve">Attended visit: four weeks before expiry</w:t>
      </w:r>
    </w:p>
    <w:p>
      <w:pPr>
        <w:pStyle w:val="ListParagraph"/>
        <w:numPr>
          <w:ilvl w:val="0"/>
          <w:numId w:val="2"/>
        </w:numPr>
        <w:spacing w:before="0" w:after="80"/>
      </w:pPr>
      <w:r>
        <w:rPr>
          <w:rFonts w:ascii="Arial" w:cs="Arial" w:eastAsia="Arial" w:hAnsi="Arial"/>
          <w:color w:val="111827"/>
          <w:sz w:val="22"/>
          <w:szCs w:val="22"/>
        </w:rPr>
        <w:t xml:space="preserve">Final written notice: two weeks before expiry</w:t>
      </w:r>
    </w:p>
    <w:p>
      <w:pPr>
        <w:pStyle w:val="ListParagraph"/>
        <w:numPr>
          <w:ilvl w:val="0"/>
          <w:numId w:val="2"/>
        </w:numPr>
        <w:spacing w:before="0" w:after="80"/>
      </w:pPr>
      <w:r>
        <w:rPr>
          <w:rFonts w:ascii="Arial" w:cs="Arial" w:eastAsia="Arial" w:hAnsi="Arial"/>
          <w:color w:val="111827"/>
          <w:sz w:val="22"/>
          <w:szCs w:val="22"/>
        </w:rPr>
        <w:t xml:space="preserve">Legal escalation: before expiry date, not after</w:t>
      </w:r>
    </w:p>
    <w:p>
      <w:pPr>
        <w:spacing w:before="0" w:after="80"/>
      </w:pPr>
    </w:p>
    <w:p>
      <w:pPr>
        <w:spacing w:before="0" w:after="120"/>
      </w:pPr>
      <w:r>
        <w:rPr>
          <w:rFonts w:ascii="Arial" w:cs="Arial" w:eastAsia="Arial" w:hAnsi="Arial"/>
          <w:color w:val="111827"/>
          <w:sz w:val="22"/>
          <w:szCs w:val="22"/>
        </w:rPr>
        <w:t xml:space="preserve">Document every contact attempt with date, method and outcome. An undocumented attempt did not happen.</w:t>
      </w:r>
    </w:p>
    <w:p>
      <w:pPr>
        <w:spacing w:before="0" w:after="120"/>
      </w:pPr>
    </w:p>
    <w:p>
      <w:pPr>
        <w:pStyle w:val="Heading2"/>
        <w:spacing w:before="240" w:after="120"/>
      </w:pPr>
      <w:r>
        <w:rPr>
          <w:rFonts w:ascii="Arial" w:cs="Arial" w:eastAsia="Arial" w:hAnsi="Arial"/>
          <w:b/>
          <w:bCs/>
          <w:color w:val="111827"/>
          <w:sz w:val="26"/>
          <w:szCs w:val="26"/>
        </w:rPr>
        <w:t xml:space="preserve">3.3 Voids and new tenancies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EICR before re-let — not after</w:t>
            </w:r>
          </w:p>
          <w:p>
            <w:pPr>
              <w:spacing w:before="0" w:after="0"/>
            </w:pPr>
            <w:r>
              <w:rPr>
                <w:rFonts w:ascii="Arial" w:cs="Arial" w:eastAsia="Arial" w:hAnsi="Arial"/>
                <w:color w:val="78350F"/>
                <w:sz w:val="20"/>
                <w:szCs w:val="20"/>
              </w:rPr>
              <w:t xml:space="preserve">A void property where the EICR has expired cannot be re-let until a satisfactory EICR is in place and any C1 or C2 codes are remediated. Check the EICR expiry date as part of every void inspection. Do not let a property get to the point where a new tenant is waiting and an expired EICR is the blocker.</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4. Day-to-day electrical safety in responsive repairs</w:t>
      </w:r>
    </w:p>
    <w:p>
      <w:pPr>
        <w:spacing w:before="0" w:after="120"/>
      </w:pPr>
      <w:r>
        <w:rPr>
          <w:rFonts w:ascii="Arial" w:cs="Arial" w:eastAsia="Arial" w:hAnsi="Arial"/>
          <w:color w:val="111827"/>
          <w:sz w:val="22"/>
          <w:szCs w:val="22"/>
        </w:rPr>
        <w:t xml:space="preserve">The EICR programme manages the condition of the installation at a point in time. Day-to-day electrical safety is about ensuring that the work carried out during responsive repairs does not introduce new risks between inspection cycles. These are related but separate responsibilities.</w:t>
      </w:r>
    </w:p>
    <w:p>
      <w:pPr>
        <w:spacing w:before="0" w:after="80"/>
      </w:pPr>
    </w:p>
    <w:p>
      <w:pPr>
        <w:pStyle w:val="Heading2"/>
        <w:spacing w:before="240" w:after="120"/>
      </w:pPr>
      <w:r>
        <w:rPr>
          <w:rFonts w:ascii="Arial" w:cs="Arial" w:eastAsia="Arial" w:hAnsi="Arial"/>
          <w:b/>
          <w:bCs/>
          <w:color w:val="111827"/>
          <w:sz w:val="26"/>
          <w:szCs w:val="26"/>
        </w:rPr>
        <w:t xml:space="preserve">4.1 Competent persons and notifiable work</w:t>
      </w:r>
    </w:p>
    <w:p>
      <w:pPr>
        <w:spacing w:before="0" w:after="120"/>
      </w:pPr>
      <w:r>
        <w:rPr>
          <w:rFonts w:ascii="Arial" w:cs="Arial" w:eastAsia="Arial" w:hAnsi="Arial"/>
          <w:color w:val="111827"/>
          <w:sz w:val="22"/>
          <w:szCs w:val="22"/>
        </w:rPr>
        <w:t xml:space="preserve">All electrical work in rented properties must be carried out by a competent person. For notifiable work, this means a registered electrician or a building control notification. Operatives who carry out electrical work should understand the boundary between minor works and notifiable works:</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Minor works — not notifiable:</w:t>
      </w:r>
    </w:p>
    <w:p>
      <w:pPr>
        <w:pStyle w:val="ListParagraph"/>
        <w:numPr>
          <w:ilvl w:val="0"/>
          <w:numId w:val="2"/>
        </w:numPr>
        <w:spacing w:before="0" w:after="80"/>
      </w:pPr>
      <w:r>
        <w:rPr>
          <w:rFonts w:ascii="Arial" w:cs="Arial" w:eastAsia="Arial" w:hAnsi="Arial"/>
          <w:color w:val="111827"/>
          <w:sz w:val="22"/>
          <w:szCs w:val="22"/>
        </w:rPr>
        <w:t xml:space="preserve">Replacing a socket faceplate on an existing circuit</w:t>
      </w:r>
    </w:p>
    <w:p>
      <w:pPr>
        <w:pStyle w:val="ListParagraph"/>
        <w:numPr>
          <w:ilvl w:val="0"/>
          <w:numId w:val="2"/>
        </w:numPr>
        <w:spacing w:before="0" w:after="80"/>
      </w:pPr>
      <w:r>
        <w:rPr>
          <w:rFonts w:ascii="Arial" w:cs="Arial" w:eastAsia="Arial" w:hAnsi="Arial"/>
          <w:color w:val="111827"/>
          <w:sz w:val="22"/>
          <w:szCs w:val="22"/>
        </w:rPr>
        <w:t xml:space="preserve">Changing a light fitting on an existing circuit</w:t>
      </w:r>
    </w:p>
    <w:p>
      <w:pPr>
        <w:pStyle w:val="ListParagraph"/>
        <w:numPr>
          <w:ilvl w:val="0"/>
          <w:numId w:val="2"/>
        </w:numPr>
        <w:spacing w:before="0" w:after="80"/>
      </w:pPr>
      <w:r>
        <w:rPr>
          <w:rFonts w:ascii="Arial" w:cs="Arial" w:eastAsia="Arial" w:hAnsi="Arial"/>
          <w:color w:val="111827"/>
          <w:sz w:val="22"/>
          <w:szCs w:val="22"/>
        </w:rPr>
        <w:t xml:space="preserve">Replacing a light switch</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Notifiable under Part P of the Building Regulations:</w:t>
      </w:r>
    </w:p>
    <w:p>
      <w:pPr>
        <w:pStyle w:val="ListParagraph"/>
        <w:numPr>
          <w:ilvl w:val="0"/>
          <w:numId w:val="2"/>
        </w:numPr>
        <w:spacing w:before="0" w:after="80"/>
      </w:pPr>
      <w:r>
        <w:rPr>
          <w:rFonts w:ascii="Arial" w:cs="Arial" w:eastAsia="Arial" w:hAnsi="Arial"/>
          <w:color w:val="111827"/>
          <w:sz w:val="22"/>
          <w:szCs w:val="22"/>
        </w:rPr>
        <w:t xml:space="preserve">Any new circuit</w:t>
      </w:r>
    </w:p>
    <w:p>
      <w:pPr>
        <w:pStyle w:val="ListParagraph"/>
        <w:numPr>
          <w:ilvl w:val="0"/>
          <w:numId w:val="2"/>
        </w:numPr>
        <w:spacing w:before="0" w:after="80"/>
      </w:pPr>
      <w:r>
        <w:rPr>
          <w:rFonts w:ascii="Arial" w:cs="Arial" w:eastAsia="Arial" w:hAnsi="Arial"/>
          <w:color w:val="111827"/>
          <w:sz w:val="22"/>
          <w:szCs w:val="22"/>
        </w:rPr>
        <w:t xml:space="preserve">Consumer unit replacement or addition</w:t>
      </w:r>
    </w:p>
    <w:p>
      <w:pPr>
        <w:pStyle w:val="ListParagraph"/>
        <w:numPr>
          <w:ilvl w:val="0"/>
          <w:numId w:val="2"/>
        </w:numPr>
        <w:spacing w:before="0" w:after="80"/>
      </w:pPr>
      <w:r>
        <w:rPr>
          <w:rFonts w:ascii="Arial" w:cs="Arial" w:eastAsia="Arial" w:hAnsi="Arial"/>
          <w:color w:val="111827"/>
          <w:sz w:val="22"/>
          <w:szCs w:val="22"/>
        </w:rPr>
        <w:t xml:space="preserve">Any significant change to an existing installation</w:t>
      </w:r>
    </w:p>
    <w:p>
      <w:pPr>
        <w:pStyle w:val="ListParagraph"/>
        <w:numPr>
          <w:ilvl w:val="0"/>
          <w:numId w:val="2"/>
        </w:numPr>
        <w:spacing w:before="0" w:after="80"/>
      </w:pPr>
      <w:r>
        <w:rPr>
          <w:rFonts w:ascii="Arial" w:cs="Arial" w:eastAsia="Arial" w:hAnsi="Arial"/>
          <w:color w:val="111827"/>
          <w:sz w:val="22"/>
          <w:szCs w:val="22"/>
        </w:rPr>
        <w:t xml:space="preserve">Electrical work in a bathroom or kitchen</w:t>
      </w:r>
    </w:p>
    <w:p>
      <w:pPr>
        <w:spacing w:before="0" w:after="80"/>
      </w:pPr>
    </w:p>
    <w:p>
      <w:pPr>
        <w:spacing w:before="0" w:after="120"/>
      </w:pPr>
      <w:r>
        <w:rPr>
          <w:rFonts w:ascii="Arial" w:cs="Arial" w:eastAsia="Arial" w:hAnsi="Arial"/>
          <w:color w:val="111827"/>
          <w:sz w:val="22"/>
          <w:szCs w:val="22"/>
        </w:rPr>
        <w:t xml:space="preserve">If an operative is unsure whether work is notifiable, the answer is to treat it as notifiable. The consequence of getting it wrong in the wrong direction is an installation that has not been properly inspected.</w:t>
      </w:r>
    </w:p>
    <w:p>
      <w:pPr>
        <w:spacing w:before="0" w:after="120"/>
      </w:pPr>
    </w:p>
    <w:p>
      <w:pPr>
        <w:pStyle w:val="Heading2"/>
        <w:spacing w:before="240" w:after="120"/>
      </w:pPr>
      <w:r>
        <w:rPr>
          <w:rFonts w:ascii="Arial" w:cs="Arial" w:eastAsia="Arial" w:hAnsi="Arial"/>
          <w:b/>
          <w:bCs/>
          <w:color w:val="111827"/>
          <w:sz w:val="26"/>
          <w:szCs w:val="26"/>
        </w:rPr>
        <w:t xml:space="preserve">4.2 Post-repair testing</w:t>
      </w:r>
    </w:p>
    <w:p>
      <w:pPr>
        <w:spacing w:before="0" w:after="120"/>
      </w:pPr>
      <w:r>
        <w:rPr>
          <w:rFonts w:ascii="Arial" w:cs="Arial" w:eastAsia="Arial" w:hAnsi="Arial"/>
          <w:color w:val="111827"/>
          <w:sz w:val="22"/>
          <w:szCs w:val="22"/>
        </w:rPr>
        <w:t xml:space="preserve">Any electrical work that could affect safety requires post-repair testing before the job is closed. At minimum:</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Continuity test: confirms the circuit is complete and there are no breaks in the earth conductor</w:t>
      </w:r>
    </w:p>
    <w:p>
      <w:pPr>
        <w:pStyle w:val="ListParagraph"/>
        <w:numPr>
          <w:ilvl w:val="0"/>
          <w:numId w:val="2"/>
        </w:numPr>
        <w:spacing w:before="0" w:after="80"/>
      </w:pPr>
      <w:r>
        <w:rPr>
          <w:rFonts w:ascii="Arial" w:cs="Arial" w:eastAsia="Arial" w:hAnsi="Arial"/>
          <w:color w:val="111827"/>
          <w:sz w:val="22"/>
          <w:szCs w:val="22"/>
        </w:rPr>
        <w:t xml:space="preserve">Insulation resistance test: confirms there is no breakdown in the insulation between conductors</w:t>
      </w:r>
    </w:p>
    <w:p>
      <w:pPr>
        <w:spacing w:before="0" w:after="80"/>
      </w:pPr>
    </w:p>
    <w:p>
      <w:pPr>
        <w:spacing w:before="0" w:after="120"/>
      </w:pPr>
      <w:r>
        <w:rPr>
          <w:rFonts w:ascii="Arial" w:cs="Arial" w:eastAsia="Arial" w:hAnsi="Arial"/>
          <w:color w:val="111827"/>
          <w:sz w:val="22"/>
          <w:szCs w:val="22"/>
        </w:rPr>
        <w:t xml:space="preserve">These are not optional finishing checks. An operative who rewires a section and does not test is leaving a potential hazard behind. Make it a condition of job closure.</w:t>
      </w:r>
    </w:p>
    <w:p>
      <w:pPr>
        <w:spacing w:before="0" w:after="120"/>
      </w:pPr>
    </w:p>
    <w:p>
      <w:pPr>
        <w:pStyle w:val="Heading2"/>
        <w:spacing w:before="240" w:after="120"/>
      </w:pPr>
      <w:r>
        <w:rPr>
          <w:rFonts w:ascii="Arial" w:cs="Arial" w:eastAsia="Arial" w:hAnsi="Arial"/>
          <w:b/>
          <w:bCs/>
          <w:color w:val="111827"/>
          <w:sz w:val="26"/>
          <w:szCs w:val="26"/>
        </w:rPr>
        <w:t xml:space="preserve">4.3 What operatives should report on any visit</w:t>
      </w:r>
    </w:p>
    <w:p>
      <w:pPr>
        <w:spacing w:before="0" w:after="120"/>
      </w:pPr>
      <w:r>
        <w:rPr>
          <w:rFonts w:ascii="Arial" w:cs="Arial" w:eastAsia="Arial" w:hAnsi="Arial"/>
          <w:color w:val="111827"/>
          <w:sz w:val="22"/>
          <w:szCs w:val="22"/>
        </w:rPr>
        <w:t xml:space="preserve">Electrical concerns observed during any maintenance visit — regardless of what the operative was called out to do — should be reported the same day:</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Overloaded extension leads or adapters in use as permanent solutions</w:t>
      </w:r>
    </w:p>
    <w:p>
      <w:pPr>
        <w:pStyle w:val="ListParagraph"/>
        <w:numPr>
          <w:ilvl w:val="0"/>
          <w:numId w:val="2"/>
        </w:numPr>
        <w:spacing w:before="0" w:after="80"/>
      </w:pPr>
      <w:r>
        <w:rPr>
          <w:rFonts w:ascii="Arial" w:cs="Arial" w:eastAsia="Arial" w:hAnsi="Arial"/>
          <w:color w:val="111827"/>
          <w:sz w:val="22"/>
          <w:szCs w:val="22"/>
        </w:rPr>
        <w:t xml:space="preserve">Scorching or burn marks around sockets, switches or fittings</w:t>
      </w:r>
    </w:p>
    <w:p>
      <w:pPr>
        <w:pStyle w:val="ListParagraph"/>
        <w:numPr>
          <w:ilvl w:val="0"/>
          <w:numId w:val="2"/>
        </w:numPr>
        <w:spacing w:before="0" w:after="80"/>
      </w:pPr>
      <w:r>
        <w:rPr>
          <w:rFonts w:ascii="Arial" w:cs="Arial" w:eastAsia="Arial" w:hAnsi="Arial"/>
          <w:color w:val="111827"/>
          <w:sz w:val="22"/>
          <w:szCs w:val="22"/>
        </w:rPr>
        <w:t xml:space="preserve">Damaged consumer unit or exposed wiring</w:t>
      </w:r>
    </w:p>
    <w:p>
      <w:pPr>
        <w:pStyle w:val="ListParagraph"/>
        <w:numPr>
          <w:ilvl w:val="0"/>
          <w:numId w:val="2"/>
        </w:numPr>
        <w:spacing w:before="0" w:after="80"/>
      </w:pPr>
      <w:r>
        <w:rPr>
          <w:rFonts w:ascii="Arial" w:cs="Arial" w:eastAsia="Arial" w:hAnsi="Arial"/>
          <w:color w:val="111827"/>
          <w:sz w:val="22"/>
          <w:szCs w:val="22"/>
        </w:rPr>
        <w:t xml:space="preserve">Sockets or switches that are loose, cracked or not flush to the wall</w:t>
      </w:r>
    </w:p>
    <w:p>
      <w:pPr>
        <w:pStyle w:val="ListParagraph"/>
        <w:numPr>
          <w:ilvl w:val="0"/>
          <w:numId w:val="2"/>
        </w:numPr>
        <w:spacing w:before="0" w:after="80"/>
      </w:pPr>
      <w:r>
        <w:rPr>
          <w:rFonts w:ascii="Arial" w:cs="Arial" w:eastAsia="Arial" w:hAnsi="Arial"/>
          <w:color w:val="111827"/>
          <w:sz w:val="22"/>
          <w:szCs w:val="22"/>
        </w:rPr>
        <w:t xml:space="preserve">Evidence of DIY electrical work — non-standard wiring, uncertified additions</w:t>
      </w:r>
    </w:p>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5. EICR and gas safety — the key differences</w:t>
      </w:r>
    </w:p>
    <w:p>
      <w:pPr>
        <w:spacing w:before="0" w:after="120"/>
      </w:pPr>
      <w:r>
        <w:rPr>
          <w:rFonts w:ascii="Arial" w:cs="Arial" w:eastAsia="Arial" w:hAnsi="Arial"/>
          <w:color w:val="111827"/>
          <w:sz w:val="22"/>
          <w:szCs w:val="22"/>
        </w:rPr>
        <w:t xml:space="preserve">Supervisors who manage both programmes sometimes assume the rules are the same. They are similar in principle but different in important ways. Understanding the differences prevents the wrong assumption being made under pressure.</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Enforcement route</w:t>
            </w:r>
          </w:p>
          <w:p>
            <w:pPr>
              <w:spacing w:before="0" w:after="0"/>
            </w:pPr>
            <w:r>
              <w:rPr>
                <w:rFonts w:ascii="Arial" w:cs="Arial" w:eastAsia="Arial" w:hAnsi="Arial"/>
                <w:b w:val="false"/>
                <w:bCs w:val="false"/>
                <w:color w:val="111827"/>
                <w:sz w:val="20"/>
                <w:szCs w:val="20"/>
              </w:rPr>
              <w:t xml:space="preserve">Gas safety: criminal. Failure to hold a current certificate is a criminal offence under the Gas Safety (Installation and Use) Regulations 1998, with personal criminal liability for responsible individuals. EICR: civil. The RSH can take regulatory action and the Housing Ombudsman can uphold complaints, but the immediate enforcement route is civil, not criminal.</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Inspection cycle</w:t>
            </w:r>
          </w:p>
          <w:p>
            <w:pPr>
              <w:spacing w:before="0" w:after="0"/>
            </w:pPr>
            <w:r>
              <w:rPr>
                <w:rFonts w:ascii="Arial" w:cs="Arial" w:eastAsia="Arial" w:hAnsi="Arial"/>
                <w:b w:val="false"/>
                <w:bCs w:val="false"/>
                <w:color w:val="111827"/>
                <w:sz w:val="20"/>
                <w:szCs w:val="20"/>
              </w:rPr>
              <w:t xml:space="preserve">Gas safety: annual. Every property with a gas supply must have a current certificate, renewed every twelve months. EICR: five-yearly. The longer cycle makes programme management less pressured in the short term but more prone to drift over time.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What the supervisor owns</w:t>
            </w:r>
          </w:p>
          <w:p>
            <w:pPr>
              <w:spacing w:before="0" w:after="0"/>
            </w:pPr>
            <w:r>
              <w:rPr>
                <w:rFonts w:ascii="Arial" w:cs="Arial" w:eastAsia="Arial" w:hAnsi="Arial"/>
                <w:b w:val="false"/>
                <w:bCs w:val="false"/>
                <w:color w:val="111827"/>
                <w:sz w:val="20"/>
                <w:szCs w:val="20"/>
              </w:rPr>
              <w:t xml:space="preserve">Both: access management, documented escalation, remediation tracking, programme oversight. The management discipline is the same even though the legal consequences of failure differ.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4"/>
              <w:left w:val="single" w:color="3B82F6" w:sz="16"/>
              <w:bottom w:val="single" w:color="3B82F6" w:sz="4"/>
              <w:right w:val="none" w:color="FFFFFF" w:sz="0"/>
            </w:tcBorders>
            <w:shd w:fill="EFF6FF" w:val="clear"/>
            <w:tcMar>
              <w:top w:type="dxa" w:w="140"/>
              <w:left w:type="dxa" w:w="200"/>
              <w:bottom w:type="dxa" w:w="140"/>
              <w:right w:type="dxa" w:w="200"/>
            </w:tcMar>
          </w:tcPr>
          <w:p>
            <w:pPr>
              <w:spacing w:before="0" w:after="80"/>
            </w:pPr>
            <w:r>
              <w:rPr>
                <w:rFonts w:ascii="Arial" w:cs="Arial" w:eastAsia="Arial" w:hAnsi="Arial"/>
                <w:b/>
                <w:bCs/>
                <w:color w:val="1D4ED8"/>
                <w:sz w:val="22"/>
                <w:szCs w:val="22"/>
              </w:rPr>
              <w:t xml:space="preserve">Same management discipline, different legal risk</w:t>
            </w:r>
          </w:p>
          <w:p>
            <w:pPr>
              <w:spacing w:before="0" w:after="0"/>
            </w:pPr>
            <w:r>
              <w:rPr>
                <w:rFonts w:ascii="Arial" w:cs="Arial" w:eastAsia="Arial" w:hAnsi="Arial"/>
                <w:color w:val="1E3A8A"/>
                <w:sz w:val="20"/>
                <w:szCs w:val="20"/>
              </w:rPr>
              <w:t xml:space="preserve">The civil rather than criminal enforcement route for EICRs does not make EICR compliance less important — it means the consequences arrive through regulatory action and complaints rather than prosecution. The RSH has taken action against providers for systemic EICR failures. Manage the programme with the same rigour as gas.</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6. Quick reference — print and keep</w:t>
      </w:r>
    </w:p>
    <w:p>
      <w:pPr>
        <w:spacing w:before="0" w:after="80"/>
      </w:pPr>
    </w:p>
    <w:p>
      <w:pPr>
        <w:pStyle w:val="Heading2"/>
        <w:spacing w:before="240" w:after="120"/>
      </w:pPr>
      <w:r>
        <w:rPr>
          <w:rFonts w:ascii="Arial" w:cs="Arial" w:eastAsia="Arial" w:hAnsi="Arial"/>
          <w:b/>
          <w:bCs/>
          <w:color w:val="111827"/>
          <w:sz w:val="26"/>
          <w:szCs w:val="26"/>
        </w:rPr>
        <w:t xml:space="preserve">EICR codes — supervisor response</w:t>
      </w:r>
    </w:p>
    <w:p>
      <w:pPr>
        <w:pStyle w:val="ListParagraph"/>
        <w:numPr>
          <w:ilvl w:val="0"/>
          <w:numId w:val="2"/>
        </w:numPr>
        <w:spacing w:before="0" w:after="80"/>
      </w:pPr>
      <w:r>
        <w:rPr>
          <w:rFonts w:ascii="Arial" w:cs="Arial" w:eastAsia="Arial" w:hAnsi="Arial"/>
          <w:color w:val="111827"/>
          <w:sz w:val="22"/>
          <w:szCs w:val="22"/>
        </w:rPr>
        <w:t xml:space="preserve">C1 (Danger present): immediate works instruction, remediation within 28 days of inspection, new EICR after works</w:t>
      </w:r>
    </w:p>
    <w:p>
      <w:pPr>
        <w:pStyle w:val="ListParagraph"/>
        <w:numPr>
          <w:ilvl w:val="0"/>
          <w:numId w:val="2"/>
        </w:numPr>
        <w:spacing w:before="0" w:after="80"/>
      </w:pPr>
      <w:r>
        <w:rPr>
          <w:rFonts w:ascii="Arial" w:cs="Arial" w:eastAsia="Arial" w:hAnsi="Arial"/>
          <w:color w:val="111827"/>
          <w:sz w:val="22"/>
          <w:szCs w:val="22"/>
        </w:rPr>
        <w:t xml:space="preserve">C2 (Potentially dangerous): works instruction, remediation within 28 days of inspection, new EICR after works</w:t>
      </w:r>
    </w:p>
    <w:p>
      <w:pPr>
        <w:pStyle w:val="ListParagraph"/>
        <w:numPr>
          <w:ilvl w:val="0"/>
          <w:numId w:val="2"/>
        </w:numPr>
        <w:spacing w:before="0" w:after="80"/>
      </w:pPr>
      <w:r>
        <w:rPr>
          <w:rFonts w:ascii="Arial" w:cs="Arial" w:eastAsia="Arial" w:hAnsi="Arial"/>
          <w:color w:val="111827"/>
          <w:sz w:val="22"/>
          <w:szCs w:val="22"/>
        </w:rPr>
        <w:t xml:space="preserve">C3 (Improvement recommended): programme and track, no mandatory timescale</w:t>
      </w:r>
    </w:p>
    <w:p>
      <w:pPr>
        <w:pStyle w:val="ListParagraph"/>
        <w:numPr>
          <w:ilvl w:val="0"/>
          <w:numId w:val="2"/>
        </w:numPr>
        <w:spacing w:before="0" w:after="80"/>
      </w:pPr>
      <w:r>
        <w:rPr>
          <w:rFonts w:ascii="Arial" w:cs="Arial" w:eastAsia="Arial" w:hAnsi="Arial"/>
          <w:color w:val="111827"/>
          <w:sz w:val="22"/>
          <w:szCs w:val="22"/>
        </w:rPr>
        <w:t xml:space="preserve">FI (Further investigation): treat as C2, investigate within 28 days</w:t>
      </w:r>
    </w:p>
    <w:p>
      <w:pPr>
        <w:pStyle w:val="ListParagraph"/>
        <w:numPr>
          <w:ilvl w:val="0"/>
          <w:numId w:val="2"/>
        </w:numPr>
        <w:spacing w:before="0" w:after="80"/>
      </w:pPr>
      <w:r>
        <w:rPr>
          <w:rFonts w:ascii="Arial" w:cs="Arial" w:eastAsia="Arial" w:hAnsi="Arial"/>
          <w:color w:val="111827"/>
          <w:sz w:val="22"/>
          <w:szCs w:val="22"/>
        </w:rPr>
        <w:t xml:space="preserve">Satisfactory: file certificate, set five-year renewal date today</w:t>
      </w:r>
    </w:p>
    <w:p>
      <w:pPr>
        <w:spacing w:before="0" w:after="120"/>
      </w:pPr>
    </w:p>
    <w:p>
      <w:pPr>
        <w:pStyle w:val="Heading2"/>
        <w:spacing w:before="240" w:after="120"/>
      </w:pPr>
      <w:r>
        <w:rPr>
          <w:rFonts w:ascii="Arial" w:cs="Arial" w:eastAsia="Arial" w:hAnsi="Arial"/>
          <w:b/>
          <w:bCs/>
          <w:color w:val="111827"/>
          <w:sz w:val="26"/>
          <w:szCs w:val="26"/>
        </w:rPr>
        <w:t xml:space="preserve">Key timelines</w:t>
      </w:r>
    </w:p>
    <w:p>
      <w:pPr>
        <w:pStyle w:val="ListParagraph"/>
        <w:numPr>
          <w:ilvl w:val="0"/>
          <w:numId w:val="2"/>
        </w:numPr>
        <w:spacing w:before="0" w:after="80"/>
      </w:pPr>
      <w:r>
        <w:rPr>
          <w:rFonts w:ascii="Arial" w:cs="Arial" w:eastAsia="Arial" w:hAnsi="Arial"/>
          <w:color w:val="111827"/>
          <w:sz w:val="22"/>
          <w:szCs w:val="22"/>
        </w:rPr>
        <w:t xml:space="preserve">28 days from inspection: C1 and C2 remediation complete, FI investigation concluded, tenant copy of EICR issued</w:t>
      </w:r>
    </w:p>
    <w:p>
      <w:pPr>
        <w:pStyle w:val="ListParagraph"/>
        <w:numPr>
          <w:ilvl w:val="0"/>
          <w:numId w:val="2"/>
        </w:numPr>
        <w:spacing w:before="0" w:after="80"/>
      </w:pPr>
      <w:r>
        <w:rPr>
          <w:rFonts w:ascii="Arial" w:cs="Arial" w:eastAsia="Arial" w:hAnsi="Arial"/>
          <w:color w:val="111827"/>
          <w:sz w:val="22"/>
          <w:szCs w:val="22"/>
        </w:rPr>
        <w:t xml:space="preserve">After C1/C2 remediation: new EICR required to confirm resolution</w:t>
      </w:r>
    </w:p>
    <w:p>
      <w:pPr>
        <w:pStyle w:val="ListParagraph"/>
        <w:numPr>
          <w:ilvl w:val="0"/>
          <w:numId w:val="2"/>
        </w:numPr>
        <w:spacing w:before="0" w:after="80"/>
      </w:pPr>
      <w:r>
        <w:rPr>
          <w:rFonts w:ascii="Arial" w:cs="Arial" w:eastAsia="Arial" w:hAnsi="Arial"/>
          <w:color w:val="111827"/>
          <w:sz w:val="22"/>
          <w:szCs w:val="22"/>
        </w:rPr>
        <w:t xml:space="preserve">Five years from satisfactory EICR: next inspection due</w:t>
      </w:r>
    </w:p>
    <w:p>
      <w:pPr>
        <w:pStyle w:val="ListParagraph"/>
        <w:numPr>
          <w:ilvl w:val="0"/>
          <w:numId w:val="2"/>
        </w:numPr>
        <w:spacing w:before="0" w:after="80"/>
      </w:pPr>
      <w:r>
        <w:rPr>
          <w:rFonts w:ascii="Arial" w:cs="Arial" w:eastAsia="Arial" w:hAnsi="Arial"/>
          <w:color w:val="111827"/>
          <w:sz w:val="22"/>
          <w:szCs w:val="22"/>
        </w:rPr>
        <w:t xml:space="preserve">Void properties: EICR check before re-let, not after</w:t>
      </w:r>
    </w:p>
    <w:p>
      <w:pPr>
        <w:spacing w:before="0" w:after="120"/>
      </w:pPr>
    </w:p>
    <w:p>
      <w:pPr>
        <w:pStyle w:val="Heading2"/>
        <w:spacing w:before="240" w:after="120"/>
      </w:pPr>
      <w:r>
        <w:rPr>
          <w:rFonts w:ascii="Arial" w:cs="Arial" w:eastAsia="Arial" w:hAnsi="Arial"/>
          <w:b/>
          <w:bCs/>
          <w:color w:val="111827"/>
          <w:sz w:val="26"/>
          <w:szCs w:val="26"/>
        </w:rPr>
        <w:t xml:space="preserve">Day-to-day electrical safety</w:t>
      </w:r>
    </w:p>
    <w:p>
      <w:pPr>
        <w:pStyle w:val="ListParagraph"/>
        <w:numPr>
          <w:ilvl w:val="0"/>
          <w:numId w:val="2"/>
        </w:numPr>
        <w:spacing w:before="0" w:after="80"/>
      </w:pPr>
      <w:r>
        <w:rPr>
          <w:rFonts w:ascii="Arial" w:cs="Arial" w:eastAsia="Arial" w:hAnsi="Arial"/>
          <w:color w:val="111827"/>
          <w:sz w:val="22"/>
          <w:szCs w:val="22"/>
        </w:rPr>
        <w:t xml:space="preserve">All electrical work must be by a competent person</w:t>
      </w:r>
    </w:p>
    <w:p>
      <w:pPr>
        <w:pStyle w:val="ListParagraph"/>
        <w:numPr>
          <w:ilvl w:val="0"/>
          <w:numId w:val="2"/>
        </w:numPr>
        <w:spacing w:before="0" w:after="80"/>
      </w:pPr>
      <w:r>
        <w:rPr>
          <w:rFonts w:ascii="Arial" w:cs="Arial" w:eastAsia="Arial" w:hAnsi="Arial"/>
          <w:color w:val="111827"/>
          <w:sz w:val="22"/>
          <w:szCs w:val="22"/>
        </w:rPr>
        <w:t xml:space="preserve">New circuits, consumer units, bathroom/kitchen work: notifiable under Part P</w:t>
      </w:r>
    </w:p>
    <w:p>
      <w:pPr>
        <w:pStyle w:val="ListParagraph"/>
        <w:numPr>
          <w:ilvl w:val="0"/>
          <w:numId w:val="2"/>
        </w:numPr>
        <w:spacing w:before="0" w:after="80"/>
      </w:pPr>
      <w:r>
        <w:rPr>
          <w:rFonts w:ascii="Arial" w:cs="Arial" w:eastAsia="Arial" w:hAnsi="Arial"/>
          <w:color w:val="111827"/>
          <w:sz w:val="22"/>
          <w:szCs w:val="22"/>
        </w:rPr>
        <w:t xml:space="preserve">Any new or rewired circuit: continuity and insulation resistance test before job closure</w:t>
      </w:r>
    </w:p>
    <w:p>
      <w:pPr>
        <w:pStyle w:val="ListParagraph"/>
        <w:numPr>
          <w:ilvl w:val="0"/>
          <w:numId w:val="2"/>
        </w:numPr>
        <w:spacing w:before="0" w:after="80"/>
      </w:pPr>
      <w:r>
        <w:rPr>
          <w:rFonts w:ascii="Arial" w:cs="Arial" w:eastAsia="Arial" w:hAnsi="Arial"/>
          <w:color w:val="111827"/>
          <w:sz w:val="22"/>
          <w:szCs w:val="22"/>
        </w:rPr>
        <w:t xml:space="preserve">Report electrical concerns observed on any visit, the same day</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6"/>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bottom line</w:t>
            </w:r>
          </w:p>
          <w:p>
            <w:pPr>
              <w:spacing w:before="0" w:after="0"/>
            </w:pPr>
            <w:r>
              <w:rPr>
                <w:rFonts w:ascii="Arial" w:cs="Arial" w:eastAsia="Arial" w:hAnsi="Arial"/>
                <w:color w:val="78350F"/>
                <w:sz w:val="20"/>
                <w:szCs w:val="20"/>
              </w:rPr>
              <w:t xml:space="preserve">Electrical safety compliance requires consistent programme management over a five-year cycle. The organisations that struggle are the ones that treat EICRs as a reactive process rather than a planned programme. Know your expiry dates. Raise works instructions on the day you receive the report. Act on C1 and C2 codes within 28 days. Document everything.</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7. Legislative reference</w:t>
      </w:r>
    </w:p>
    <w:p>
      <w:pPr>
        <w:spacing w:before="0" w:after="120"/>
      </w:pPr>
      <w:r>
        <w:rPr>
          <w:rFonts w:ascii="Arial" w:cs="Arial" w:eastAsia="Arial" w:hAnsi="Arial"/>
          <w:color w:val="111827"/>
          <w:sz w:val="22"/>
          <w:szCs w:val="22"/>
        </w:rPr>
        <w:t xml:space="preserve">You do not need to cite the legislation to manage the EICR programme well. This section is here for reference when a more detailed conversation is needed with a manager, inspector or the RSH.</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Electrical Safety Standards in the Private Rented Sector (England) Regulations 2020</w:t>
            </w:r>
          </w:p>
          <w:p>
            <w:pPr>
              <w:spacing w:before="0" w:after="0"/>
            </w:pPr>
            <w:r>
              <w:rPr>
                <w:rFonts w:ascii="Arial" w:cs="Arial" w:eastAsia="Arial" w:hAnsi="Arial"/>
                <w:b w:val="false"/>
                <w:bCs w:val="false"/>
                <w:color w:val="111827"/>
                <w:sz w:val="20"/>
                <w:szCs w:val="20"/>
              </w:rPr>
              <w:t xml:space="preserve">The primary statutory basis for mandatory EICRs. Requires inspection and testing at intervals not exceeding five years, remediation of C1 and C2 codes within 28 days, and provision of the EICR to the tenant within 28 days of inspection. Extended to social housing landlords.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Social Housing (Regulation) Act 2023 and RSH Consumer Standards</w:t>
            </w:r>
          </w:p>
          <w:p>
            <w:pPr>
              <w:spacing w:before="0" w:after="0"/>
            </w:pPr>
            <w:r>
              <w:rPr>
                <w:rFonts w:ascii="Arial" w:cs="Arial" w:eastAsia="Arial" w:hAnsi="Arial"/>
                <w:b w:val="false"/>
                <w:bCs w:val="false"/>
                <w:color w:val="111827"/>
                <w:sz w:val="20"/>
                <w:szCs w:val="20"/>
              </w:rPr>
              <w:t xml:space="preserve">Reinforces the RSH’s expectation that registered providers demonstrate systematic compliance with safety obligations including EICRs. The RSH’s Safety and Quality Standard requires providers to ensure their homes meet the Decent Homes Standard and all relevant statutory requirements.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Part P of the Building Regulations</w:t>
            </w:r>
          </w:p>
          <w:p>
            <w:pPr>
              <w:spacing w:before="0" w:after="0"/>
            </w:pPr>
            <w:r>
              <w:rPr>
                <w:rFonts w:ascii="Arial" w:cs="Arial" w:eastAsia="Arial" w:hAnsi="Arial"/>
                <w:b w:val="false"/>
                <w:bCs w:val="false"/>
                <w:color w:val="111827"/>
                <w:sz w:val="20"/>
                <w:szCs w:val="20"/>
              </w:rPr>
              <w:t xml:space="preserve">Governs electrical installations in dwellings. Notifiable work — new circuits, consumer units, significant changes, work in bathrooms and kitchens — must be carried out by a registered competent person or notified to building control. Applies to all electrical work in rented properties.</w:t>
            </w:r>
          </w:p>
        </w:tc>
      </w:tr>
    </w:tbl>
    <w:p>
      <w:pPr>
        <w:spacing w:before="0" w:after="200"/>
      </w:pPr>
    </w:p>
    <w:p>
      <w:pPr>
        <w:pBdr>
          <w:bottom w:val="single" w:color="E5E7EB" w:sz="4" w:space="1"/>
        </w:pBdr>
        <w:spacing w:before="160" w:after="160"/>
      </w:pPr>
    </w:p>
    <w:p>
      <w:pPr>
        <w:spacing w:before="0" w:after="120"/>
      </w:pPr>
    </w:p>
    <w:p>
      <w:pPr>
        <w:spacing w:before="0" w:after="0"/>
        <w:jc w:val="center"/>
      </w:pPr>
      <w:r>
        <w:rPr>
          <w:rFonts w:ascii="Arial" w:cs="Arial" w:eastAsia="Arial" w:hAnsi="Arial"/>
          <w:color w:val="6B7280"/>
          <w:sz w:val="16"/>
          <w:szCs w:val="16"/>
        </w:rPr>
        <w:t xml:space="preserve">socialhousing.ai · Compliance &amp; Regulation Series · Electrical Safety and EICR — What Supervisors Own · March 2026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11827"/>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1182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2026-03-24T09:17:32.793Z</dcterms:created>
  <dcterms:modified xsi:type="dcterms:W3CDTF">2026-03-24T09:17:32.794Z</dcterms:modified>
</cp:coreProperties>
</file>

<file path=docProps/custom.xml><?xml version="1.0" encoding="utf-8"?>
<Properties xmlns="http://schemas.openxmlformats.org/officeDocument/2006/custom-properties" xmlns:vt="http://schemas.openxmlformats.org/officeDocument/2006/docPropsVTypes"/>
</file>