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F1E" w:val="clear"/>
            <w:tcMar>
              <w:top w:type="dxa" w:w="560"/>
              <w:left w:type="dxa" w:w="480"/>
              <w:bottom w:type="dxa" w:w="560"/>
              <w:right w:type="dxa" w:w="480"/>
            </w:tcMar>
            <w:vAlign w:val="center"/>
          </w:tcPr>
          <w:p>
            <w:pPr>
              <w:spacing w:before="0" w:after="40"/>
            </w:pPr>
            <w:r>
              <w:rPr>
                <w:rFonts w:ascii="Arial" w:cs="Arial" w:eastAsia="Arial" w:hAnsi="Arial"/>
                <w:b/>
                <w:bCs/>
                <w:color w:val="FFFFFF"/>
                <w:sz w:val="28"/>
                <w:szCs w:val="28"/>
              </w:rPr>
              <w:t xml:space="preserve">socialhousing</w:t>
            </w:r>
            <w:r>
              <w:rPr>
                <w:rFonts w:ascii="Arial" w:cs="Arial" w:eastAsia="Arial" w:hAnsi="Arial"/>
                <w:b/>
                <w:bCs/>
                <w:color w:val="22D3EE"/>
                <w:sz w:val="28"/>
                <w:szCs w:val="28"/>
              </w:rPr>
              <w:t xml:space="preserve">.ai</w:t>
            </w:r>
          </w:p>
          <w:p>
            <w:pPr>
              <w:spacing w:before="0" w:after="280"/>
            </w:pPr>
            <w:r>
              <w:rPr>
                <w:rFonts w:ascii="Arial" w:cs="Arial" w:eastAsia="Arial" w:hAnsi="Arial"/>
                <w:b/>
                <w:bCs/>
                <w:caps/>
                <w:color w:val="64748B"/>
                <w:sz w:val="18"/>
                <w:szCs w:val="18"/>
              </w:rPr>
              <w:t xml:space="preserve">SUPERVISOR PLAYBOOK SERIES</w:t>
            </w:r>
          </w:p>
          <w:p>
            <w:pPr>
              <w:pBdr>
                <w:bottom w:val="single" w:color="0891B2" w:sz="6" w:space="0"/>
              </w:pBdr>
              <w:spacing w:before="0" w:after="240"/>
            </w:pPr>
            <w:r>
              <w:rPr>
                <w:rFonts w:ascii="Arial" w:cs="Arial" w:eastAsia="Arial" w:hAnsi="Arial"/>
                <w:sz w:val="4"/>
                <w:szCs w:val="4"/>
              </w:rPr>
              <w:t xml:space="preserve"/>
            </w:r>
          </w:p>
          <w:p>
            <w:pPr>
              <w:spacing w:before="240" w:after="80"/>
            </w:pPr>
            <w:r>
              <w:rPr>
                <w:rFonts w:ascii="Arial" w:cs="Arial" w:eastAsia="Arial" w:hAnsi="Arial"/>
                <w:b/>
                <w:bCs/>
                <w:color w:val="FFFFFF"/>
                <w:sz w:val="60"/>
                <w:szCs w:val="60"/>
              </w:rPr>
              <w:t xml:space="preserve">The Abortive Visit Playbook</w:t>
            </w:r>
          </w:p>
          <w:p>
            <w:pPr>
              <w:spacing w:before="0" w:after="320"/>
            </w:pPr>
            <w:r>
              <w:rPr>
                <w:rFonts w:ascii="Arial" w:cs="Arial" w:eastAsia="Arial" w:hAnsi="Arial"/>
                <w:b w:val="false"/>
                <w:bCs w:val="false"/>
                <w:color w:val="FBB024"/>
                <w:sz w:val="32"/>
                <w:szCs w:val="32"/>
              </w:rPr>
              <w:t xml:space="preserve">Understanding, Challenging and Reducing No-Access and Failed Visits</w:t>
            </w:r>
          </w:p>
          <w:p>
            <w:pPr>
              <w:pBdr>
                <w:bottom w:val="single" w:color="1E3A5F" w:sz="2" w:space="0"/>
              </w:pBdr>
              <w:spacing w:before="0" w:after="240"/>
            </w:pPr>
            <w:r>
              <w:rPr>
                <w:rFonts w:ascii="Arial" w:cs="Arial" w:eastAsia="Arial" w:hAnsi="Arial"/>
                <w:sz w:val="4"/>
                <w:szCs w:val="4"/>
              </w:rPr>
              <w:t xml:space="preserve"/>
            </w:r>
          </w:p>
          <w:p>
            <w:pPr>
              <w:spacing w:before="240" w:after="80"/>
            </w:pPr>
            <w:r>
              <w:rPr>
                <w:rFonts w:ascii="Arial" w:cs="Arial" w:eastAsia="Arial" w:hAnsi="Arial"/>
                <w:color w:val="94A3B8"/>
                <w:sz w:val="24"/>
                <w:szCs w:val="24"/>
              </w:rPr>
              <w:t xml:space="preserve">A practical guide for trade supervisors in social housing maintenance</w:t>
            </w:r>
          </w:p>
          <w:p>
            <w:pPr>
              <w:spacing w:before="0" w:after="480"/>
            </w:pPr>
            <w:r>
              <w:rPr>
                <w:rFonts w:ascii="Arial" w:cs="Arial" w:eastAsia="Arial" w:hAnsi="Arial"/>
                <w:color w:val="475569"/>
                <w:sz w:val="22"/>
                <w:szCs w:val="22"/>
              </w:rPr>
              <w:t xml:space="preserve">March 2026  ·  Free to use and share  ·  socialhousing.ai</w:t>
            </w:r>
          </w:p>
          <w:p>
            <w:pPr>
              <w:pBdr>
                <w:bottom w:val="single" w:color="0891B2" w:sz="6" w:space="0"/>
              </w:pBdr>
              <w:spacing w:before="0" w:after="200"/>
            </w:pPr>
            <w:r>
              <w:rPr>
                <w:rFonts w:ascii="Arial" w:cs="Arial" w:eastAsia="Arial" w:hAnsi="Arial"/>
                <w:sz w:val="4"/>
                <w:szCs w:val="4"/>
              </w:rPr>
              <w:t xml:space="preserve"/>
            </w:r>
          </w:p>
          <w:p>
            <w:pPr>
              <w:spacing w:before="200" w:after="60"/>
            </w:pPr>
            <w:r>
              <w:rPr>
                <w:rFonts w:ascii="Arial" w:cs="Arial" w:eastAsia="Arial" w:hAnsi="Arial"/>
                <w:b/>
                <w:bCs/>
                <w:color w:val="FBB024"/>
                <w:sz w:val="22"/>
                <w:szCs w:val="22"/>
              </w:rPr>
              <w:t xml:space="preserve">About this playbook</w:t>
            </w:r>
          </w:p>
          <w:p>
            <w:pPr>
              <w:spacing w:before="0" w:after="80"/>
            </w:pPr>
            <w:r>
              <w:rPr>
                <w:rFonts w:ascii="Arial" w:cs="Arial" w:eastAsia="Arial" w:hAnsi="Arial"/>
                <w:color w:val="94A3B8"/>
                <w:sz w:val="22"/>
                <w:szCs w:val="22"/>
              </w:rPr>
              <w:t xml:space="preserve">An abortive visit is one of the most expensive events in a responsive repairs service. It costs the same as a completed job in operative time and travel, produces nothing for the tenant, and generates a second visit that has to be scheduled, resourced and managed all over again. Yet in most services, abortive visits are recorded, counted and accepted rather than investigated, challenged and reduced. This playbook changes that.</w:t>
            </w:r>
          </w:p>
          <w:p>
            <w:pPr>
              <w:spacing w:before="0" w:after="0"/>
            </w:pPr>
            <w:r>
              <w:rPr>
                <w:rFonts w:ascii="Arial" w:cs="Arial" w:eastAsia="Arial" w:hAnsi="Arial"/>
                <w:color w:val="64748B"/>
                <w:sz w:val="22"/>
                <w:szCs w:val="22"/>
              </w:rPr>
              <w:t xml:space="preserve">Free to use, free to share, free to adapt. No login required.</w:t>
            </w:r>
          </w:p>
        </w:tc>
      </w:tr>
    </w:tbl>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1. What an abortive visit actually costs</w:t>
      </w:r>
    </w:p>
    <w:p>
      <w:pPr>
        <w:spacing w:before="80" w:after="140"/>
      </w:pPr>
      <w:r>
        <w:rPr>
          <w:rFonts w:ascii="Arial" w:cs="Arial" w:eastAsia="Arial" w:hAnsi="Arial"/>
          <w:color w:val="334155"/>
          <w:sz w:val="24"/>
          <w:szCs w:val="24"/>
        </w:rPr>
        <w:t xml:space="preserve">The phrase "abortive visit" understates what is actually happening. A more accurate description is: a wasted operative day-part, a missed appointment, a dissatisfied tenant, an SLA breach and an additional scheduling demand — all generated by a single event that in many cases was preventable.</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direct cost of an abortive visit in a DLO environment is typically between £80 and £150. That covers the operative's travel time to and from the property, the time spent on site attempting access or diagnosis, the administrative cost of recording the visit and raising the return, and the planner's time rescheduling. It does not include the cost of the return visit itself, which is a full additional job cost. It does not include the tenant satisfaction impact, the TSM outcome effect, or the reputational cost if the same tenant is aborted multiple times.</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In a team of ten operatives, if each operative records two abortive visits per week, the team is generating twenty abortive visits per week. At £100 average cost each, that is £2,000 per week, £104,000 per year, in direct cost alone. That is before any improvement in first-time fix, SLA performance or tenant satisfaction is considered.</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991B1B" w:sz="16"/>
              <w:bottom w:val="none" w:color="FFFFFF" w:sz="0"/>
              <w:right w:val="none" w:color="FFFFFF" w:sz="0"/>
            </w:tcBorders>
            <w:shd w:fill="FEF2F2" w:val="clear"/>
            <w:tcMar>
              <w:top w:type="dxa" w:w="160"/>
              <w:left w:type="dxa" w:w="240"/>
              <w:bottom w:type="dxa" w:w="160"/>
              <w:right w:type="dxa" w:w="200"/>
            </w:tcMar>
          </w:tcPr>
          <w:p>
            <w:pPr>
              <w:spacing w:before="0" w:after="80"/>
            </w:pPr>
            <w:r>
              <w:rPr>
                <w:rFonts w:ascii="Arial" w:cs="Arial" w:eastAsia="Arial" w:hAnsi="Arial"/>
                <w:b/>
                <w:bCs/>
                <w:color w:val="991B1B"/>
                <w:sz w:val="26"/>
                <w:szCs w:val="26"/>
              </w:rPr>
              <w:t xml:space="preserve">Most organisations count abortive visits. Almost none investigate them systematically.</w:t>
            </w:r>
          </w:p>
          <w:p>
            <w:pPr>
              <w:spacing w:before="0" w:after="0"/>
            </w:pPr>
            <w:r>
              <w:rPr>
                <w:rFonts w:ascii="Arial" w:cs="Arial" w:eastAsia="Arial" w:hAnsi="Arial"/>
                <w:color w:val="334155"/>
                <w:sz w:val="24"/>
                <w:szCs w:val="24"/>
              </w:rPr>
              <w:t xml:space="preserve">The data exists. The costs are real. What is missing in most services is a supervisor who treats each pattern of abortive visits as something to understand and act on, rather than a statistic to report upward.</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2. The five types of abortive visit</w:t>
      </w:r>
    </w:p>
    <w:p>
      <w:pPr>
        <w:spacing w:before="80" w:after="140"/>
      </w:pPr>
      <w:r>
        <w:rPr>
          <w:rFonts w:ascii="Arial" w:cs="Arial" w:eastAsia="Arial" w:hAnsi="Arial"/>
          <w:color w:val="334155"/>
          <w:sz w:val="24"/>
          <w:szCs w:val="24"/>
        </w:rPr>
        <w:t xml:space="preserve">Not all abortive visits are the same and they do not all have the same response. The first job of the supervisor is to understand what type of abortive they are looking at, because the cause determines the action.</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800"/>
        <w:gridCol w:w="3000"/>
        <w:gridCol w:w="2400"/>
        <w:gridCol w:w="2438"/>
      </w:tblGrid>
      <w:tr>
        <w:trPr>
          <w:tblHeader/>
        </w:trPr>
        <w:tc>
          <w:tcPr>
            <w:tcW w:type="dxa" w:w="18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Type</w:t>
            </w:r>
          </w:p>
        </w:tc>
        <w:tc>
          <w:tcPr>
            <w:tcW w:type="dxa" w:w="30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it looks like</w:t>
            </w:r>
          </w:p>
        </w:tc>
        <w:tc>
          <w:tcPr>
            <w:tcW w:type="dxa" w:w="24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Primary cause</w:t>
            </w:r>
          </w:p>
        </w:tc>
        <w:tc>
          <w:tcPr>
            <w:tcW w:type="dxa" w:w="24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Who owns the response</w:t>
            </w:r>
          </w:p>
        </w:tc>
      </w:tr>
      <w:tr>
        <w:tc>
          <w:tcPr>
            <w:tcW w:type="dxa" w:w="1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Genuine no access</w:t>
            </w:r>
          </w:p>
        </w:tc>
        <w:tc>
          <w:tcPr>
            <w:tcW w:type="dxa" w:w="3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Operative attends, knocks, waits the required time, tenant is not in. Appointment confirmed beforehand.</w:t>
            </w:r>
          </w:p>
        </w:tc>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Tenant not home despite appointment. Can happen.</w:t>
            </w:r>
          </w:p>
        </w:tc>
        <w:tc>
          <w:tcPr>
            <w:tcW w:type="dxa" w:w="24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Planner — reschedule. Supervisor — check pattern if repeat.</w:t>
            </w:r>
          </w:p>
        </w:tc>
      </w:tr>
      <w:tr>
        <w:tc>
          <w:tcPr>
            <w:tcW w:type="dxa" w:w="1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Failed access — pattern</w:t>
            </w:r>
          </w:p>
        </w:tc>
        <w:tc>
          <w:tcPr>
            <w:tcW w:type="dxa" w:w="30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Same operative, same address, recurring no access. Or same operative, high no-access rate across multiple addresses.</w:t>
            </w:r>
          </w:p>
        </w:tc>
        <w:tc>
          <w:tcPr>
            <w:tcW w:type="dxa" w:w="2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Possible operative behaviour — not attempting access properly, leaving early, not knocking adequately.</w:t>
            </w:r>
          </w:p>
        </w:tc>
        <w:tc>
          <w:tcPr>
            <w:tcW w:type="dxa" w:w="24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Supervisor — direct conversation with the operative. Challenge the pattern.</w:t>
            </w:r>
          </w:p>
        </w:tc>
      </w:tr>
      <w:tr>
        <w:tc>
          <w:tcPr>
            <w:tcW w:type="dxa" w:w="1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Missing materials</w:t>
            </w:r>
          </w:p>
        </w:tc>
        <w:tc>
          <w:tcPr>
            <w:tcW w:type="dxa" w:w="3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Operative attends but cannot complete because they did not carry the right materials.</w:t>
            </w:r>
          </w:p>
        </w:tc>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Van stock failure. See Van Stock Management playbook.</w:t>
            </w:r>
          </w:p>
        </w:tc>
        <w:tc>
          <w:tcPr>
            <w:tcW w:type="dxa" w:w="24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Supervisor — van stock conversation. See pattern section.</w:t>
            </w:r>
          </w:p>
        </w:tc>
      </w:tr>
      <w:tr>
        <w:tc>
          <w:tcPr>
            <w:tcW w:type="dxa" w:w="1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Wrong diagnosis</w:t>
            </w:r>
          </w:p>
        </w:tc>
        <w:tc>
          <w:tcPr>
            <w:tcW w:type="dxa" w:w="30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Job raised incorrectly. Operative attends a plumbing job that requires electrical work, or vice versa.</w:t>
            </w:r>
          </w:p>
        </w:tc>
        <w:tc>
          <w:tcPr>
            <w:tcW w:type="dxa" w:w="2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Planning or reporting error at point of diagnosis.</w:t>
            </w:r>
          </w:p>
        </w:tc>
        <w:tc>
          <w:tcPr>
            <w:tcW w:type="dxa" w:w="24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Planner and supervisor jointly — review how the job was raised and diagnosed.</w:t>
            </w:r>
          </w:p>
        </w:tc>
      </w:tr>
      <w:tr>
        <w:tc>
          <w:tcPr>
            <w:tcW w:type="dxa" w:w="1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Refused access</w:t>
            </w:r>
          </w:p>
        </w:tc>
        <w:tc>
          <w:tcPr>
            <w:tcW w:type="dxa" w:w="3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Tenant is home but refuses to allow the operative entry. May relate to conduct concerns, previous bad experience, or safeguarding situation.</w:t>
            </w:r>
          </w:p>
        </w:tc>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Variable — could be tenant-related, operative-related or a genuine safeguarding concern.</w:t>
            </w:r>
          </w:p>
        </w:tc>
        <w:tc>
          <w:tcPr>
            <w:tcW w:type="dxa" w:w="24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Supervisor — investigate before rescheduling. Do not just rebook.</w:t>
            </w:r>
          </w:p>
        </w:tc>
      </w:tr>
    </w:tbl>
    <w:p>
      <w:pPr>
        <w:spacing w:before="0" w:after="16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The most important distinction is between a genuine no-access and a pattern</w:t>
            </w:r>
          </w:p>
          <w:p>
            <w:pPr>
              <w:spacing w:before="0" w:after="0"/>
            </w:pPr>
            <w:r>
              <w:rPr>
                <w:rFonts w:ascii="Arial" w:cs="Arial" w:eastAsia="Arial" w:hAnsi="Arial"/>
                <w:color w:val="334155"/>
                <w:sz w:val="24"/>
                <w:szCs w:val="24"/>
              </w:rPr>
              <w:t xml:space="preserve">A single no-access from a tenant who was not home is not a management issue. It happens. The same operative recording four no-accesses in a week at different addresses, or the same address recurring as no-access repeatedly, is a pattern that requires investigation. The data will tell you which one you are looking at.</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3. Reading the data</w:t>
      </w:r>
    </w:p>
    <w:p>
      <w:pPr>
        <w:spacing w:before="80" w:after="140"/>
      </w:pPr>
      <w:r>
        <w:rPr>
          <w:rFonts w:ascii="Arial" w:cs="Arial" w:eastAsia="Arial" w:hAnsi="Arial"/>
          <w:color w:val="334155"/>
          <w:sz w:val="24"/>
          <w:szCs w:val="24"/>
        </w:rPr>
        <w:t xml:space="preserve">Most works management systems record abortive visits. Most supervisors look at the total number. The total number is almost useless on its own. What matters is the pattern behind it — who, where, when and why.</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3.1  The four data questions</w:t>
      </w:r>
    </w:p>
    <w:p>
      <w:pPr>
        <w:spacing w:before="80" w:after="140"/>
      </w:pPr>
      <w:r>
        <w:rPr>
          <w:rFonts w:ascii="Arial" w:cs="Arial" w:eastAsia="Arial" w:hAnsi="Arial"/>
          <w:color w:val="334155"/>
          <w:sz w:val="24"/>
          <w:szCs w:val="24"/>
        </w:rPr>
        <w:t xml:space="preserve">Before any conversation about abortive visits, the supervisor should be able to answer the following four questions from their system data.</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100"/>
      </w:pPr>
      <w:r>
        <w:rPr>
          <w:rFonts w:ascii="Arial" w:cs="Arial" w:eastAsia="Arial" w:hAnsi="Arial"/>
          <w:color w:val="334155"/>
          <w:sz w:val="24"/>
          <w:szCs w:val="24"/>
        </w:rPr>
        <w:t xml:space="preserve">Which operative has the highest abortive rate this period? Is this consistent over time, or a recent change?</w:t>
      </w:r>
    </w:p>
    <w:p>
      <w:pPr>
        <w:pStyle w:val="ListParagraph"/>
        <w:numPr>
          <w:ilvl w:val="0"/>
          <w:numId w:val="2"/>
        </w:numPr>
        <w:spacing w:before="60" w:after="100"/>
      </w:pPr>
      <w:r>
        <w:rPr>
          <w:rFonts w:ascii="Arial" w:cs="Arial" w:eastAsia="Arial" w:hAnsi="Arial"/>
          <w:color w:val="334155"/>
          <w:sz w:val="24"/>
          <w:szCs w:val="24"/>
        </w:rPr>
        <w:t xml:space="preserve">Are the abortives clustered at specific addresses? If so, is this a tenant access problem that needs a different intervention?</w:t>
      </w:r>
    </w:p>
    <w:p>
      <w:pPr>
        <w:pStyle w:val="ListParagraph"/>
        <w:numPr>
          <w:ilvl w:val="0"/>
          <w:numId w:val="2"/>
        </w:numPr>
        <w:spacing w:before="60" w:after="100"/>
      </w:pPr>
      <w:r>
        <w:rPr>
          <w:rFonts w:ascii="Arial" w:cs="Arial" w:eastAsia="Arial" w:hAnsi="Arial"/>
          <w:color w:val="334155"/>
          <w:sz w:val="24"/>
          <w:szCs w:val="24"/>
        </w:rPr>
        <w:t xml:space="preserve">What reason codes are being used? Are "no access" and "missing materials" being recorded accurately, or is "no access" being used as a catch-all?</w:t>
      </w:r>
    </w:p>
    <w:p>
      <w:pPr>
        <w:pStyle w:val="ListParagraph"/>
        <w:numPr>
          <w:ilvl w:val="0"/>
          <w:numId w:val="2"/>
        </w:numPr>
        <w:spacing w:before="60" w:after="100"/>
      </w:pPr>
      <w:r>
        <w:rPr>
          <w:rFonts w:ascii="Arial" w:cs="Arial" w:eastAsia="Arial" w:hAnsi="Arial"/>
          <w:color w:val="334155"/>
          <w:sz w:val="24"/>
          <w:szCs w:val="24"/>
        </w:rPr>
        <w:t xml:space="preserve">Is there a time-of-day pattern? Abortives concentrated in the last hour of the day, or immediately after lunch, may indicate an operative behaviour issue rather than a genuine access problem.</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3.2  What good data looks like</w:t>
      </w:r>
    </w:p>
    <w:p>
      <w:pPr>
        <w:spacing w:before="80" w:after="140"/>
      </w:pPr>
      <w:r>
        <w:rPr>
          <w:rFonts w:ascii="Arial" w:cs="Arial" w:eastAsia="Arial" w:hAnsi="Arial"/>
          <w:color w:val="334155"/>
          <w:sz w:val="24"/>
          <w:szCs w:val="24"/>
        </w:rPr>
        <w:t xml:space="preserve">A well-run team should be able to produce the following report at any point in the month. If your system cannot produce this, that is a data quality problem to escalate to your contracts or business support function.</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800"/>
        <w:gridCol w:w="2400"/>
        <w:gridCol w:w="1800"/>
        <w:gridCol w:w="2638"/>
      </w:tblGrid>
      <w:tr>
        <w:trPr>
          <w:tblHeader/>
        </w:trPr>
        <w:tc>
          <w:tcPr>
            <w:tcW w:type="dxa" w:w="28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Data point</w:t>
            </w:r>
          </w:p>
        </w:tc>
        <w:tc>
          <w:tcPr>
            <w:tcW w:type="dxa" w:w="24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to look for</w:t>
            </w:r>
          </w:p>
        </w:tc>
        <w:tc>
          <w:tcPr>
            <w:tcW w:type="dxa" w:w="18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Good range</w:t>
            </w:r>
          </w:p>
        </w:tc>
        <w:tc>
          <w:tcPr>
            <w:tcW w:type="dxa" w:w="26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Action threshold</w:t>
            </w:r>
          </w:p>
        </w:tc>
      </w:tr>
      <w:tr>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Abortive rate by operative (% of jobs attended)</w:t>
            </w:r>
          </w:p>
        </w:tc>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Consistent outliers above team average</w:t>
            </w:r>
          </w:p>
        </w:tc>
        <w:tc>
          <w:tcPr>
            <w:tcW w:type="dxa" w:w="1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2–5% of jobs</w:t>
            </w:r>
          </w:p>
        </w:tc>
        <w:tc>
          <w:tcPr>
            <w:tcW w:type="dxa" w:w="26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Above 8% for two or more consecutive weeks</w:t>
            </w:r>
          </w:p>
        </w:tc>
      </w:tr>
      <w:tr>
        <w:tc>
          <w:tcPr>
            <w:tcW w:type="dxa" w:w="2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No-access rate by address</w:t>
            </w:r>
          </w:p>
        </w:tc>
        <w:tc>
          <w:tcPr>
            <w:tcW w:type="dxa" w:w="2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Addresses with three or more no-access visits in the period</w:t>
            </w:r>
          </w:p>
        </w:tc>
        <w:tc>
          <w:tcPr>
            <w:tcW w:type="dxa" w:w="1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Rare — under 1 address per operative per month</w:t>
            </w:r>
          </w:p>
        </w:tc>
        <w:tc>
          <w:tcPr>
            <w:tcW w:type="dxa" w:w="26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Any address with three or more — review tenant contact approach</w:t>
            </w:r>
          </w:p>
        </w:tc>
      </w:tr>
      <w:tr>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Reason code distribution</w:t>
            </w:r>
          </w:p>
        </w:tc>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Ratio of no-access to materials-related to wrong-trade abortives</w:t>
            </w:r>
          </w:p>
        </w:tc>
        <w:tc>
          <w:tcPr>
            <w:tcW w:type="dxa" w:w="1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Majority should be genuine no-access</w:t>
            </w:r>
          </w:p>
        </w:tc>
        <w:tc>
          <w:tcPr>
            <w:tcW w:type="dxa" w:w="26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High materials or wrong-trade rate — investigate system/van stock</w:t>
            </w:r>
          </w:p>
        </w:tc>
      </w:tr>
      <w:tr>
        <w:tc>
          <w:tcPr>
            <w:tcW w:type="dxa" w:w="2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Time-of-day distribution</w:t>
            </w:r>
          </w:p>
        </w:tc>
        <w:tc>
          <w:tcPr>
            <w:tcW w:type="dxa" w:w="2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When in the day are abortives being recorded?</w:t>
            </w:r>
          </w:p>
        </w:tc>
        <w:tc>
          <w:tcPr>
            <w:tcW w:type="dxa" w:w="1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Spread across the day</w:t>
            </w:r>
          </w:p>
        </w:tc>
        <w:tc>
          <w:tcPr>
            <w:tcW w:type="dxa" w:w="26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Clustering in last hour or first job of day — investigate</w:t>
            </w:r>
          </w:p>
        </w:tc>
      </w:tr>
    </w:tbl>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D97706" w:sz="16"/>
              <w:bottom w:val="none" w:color="FFFFFF" w:sz="0"/>
              <w:right w:val="none" w:color="FFFFFF" w:sz="0"/>
            </w:tcBorders>
            <w:shd w:fill="FFFBEB" w:val="clear"/>
            <w:tcMar>
              <w:top w:type="dxa" w:w="160"/>
              <w:left w:type="dxa" w:w="240"/>
              <w:bottom w:type="dxa" w:w="160"/>
              <w:right w:type="dxa" w:w="200"/>
            </w:tcMar>
          </w:tcPr>
          <w:p>
            <w:pPr>
              <w:spacing w:before="0" w:after="80"/>
            </w:pPr>
            <w:r>
              <w:rPr>
                <w:rFonts w:ascii="Arial" w:cs="Arial" w:eastAsia="Arial" w:hAnsi="Arial"/>
                <w:b/>
                <w:bCs/>
                <w:color w:val="B45309"/>
                <w:sz w:val="26"/>
                <w:szCs w:val="26"/>
              </w:rPr>
              <w:t xml:space="preserve">Reason codes are only useful if they are accurate</w:t>
            </w:r>
          </w:p>
          <w:p>
            <w:pPr>
              <w:spacing w:before="0" w:after="0"/>
            </w:pPr>
            <w:r>
              <w:rPr>
                <w:rFonts w:ascii="Arial" w:cs="Arial" w:eastAsia="Arial" w:hAnsi="Arial"/>
                <w:color w:val="334155"/>
                <w:sz w:val="24"/>
                <w:szCs w:val="24"/>
              </w:rPr>
              <w:t xml:space="preserve">If operatives know that "no access" closes a job without consequences and "missing materials" generates a conversation, they will use "no access" for everything. The supervisor's job is to make the reason code reflect what actually happened — which means challenging inaccurate codes when the data does not stack up against what the supervisor knows about the job.</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4. The supervisor's response by type</w:t>
      </w:r>
    </w:p>
    <w:p>
      <w:pPr>
        <w:pStyle w:val="Heading2"/>
        <w:spacing w:before="280" w:after="120"/>
      </w:pPr>
      <w:r>
        <w:rPr>
          <w:rFonts w:ascii="Arial" w:cs="Arial" w:eastAsia="Arial" w:hAnsi="Arial"/>
          <w:b/>
          <w:bCs/>
          <w:color w:val="0E7490"/>
          <w:sz w:val="28"/>
          <w:szCs w:val="28"/>
        </w:rPr>
        <w:t xml:space="preserve">4.1  Genuine no access — single occurrence</w:t>
      </w:r>
    </w:p>
    <w:p>
      <w:pPr>
        <w:spacing w:before="80" w:after="140"/>
      </w:pPr>
      <w:r>
        <w:rPr>
          <w:rFonts w:ascii="Arial" w:cs="Arial" w:eastAsia="Arial" w:hAnsi="Arial"/>
          <w:color w:val="334155"/>
          <w:sz w:val="24"/>
          <w:szCs w:val="24"/>
        </w:rPr>
        <w:t xml:space="preserve">A single genuine no-access requires no supervisory intervention beyond ensuring it is rebooked promptly. The planner should be handling rescheduling. The supervisor's role is to confirm the visit was properly attempted — that the operative knocked, waited the required time and recorded the outcome correctly.</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One check worth building into your routine: when an operative records a no-access, does the job record show what time they arrived, how long they waited and what contact they attempted? This information should be in the system. If it is not, it is a data quality issue to address.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4.2  Repeat no access at the same address</w:t>
      </w:r>
    </w:p>
    <w:p>
      <w:pPr>
        <w:spacing w:before="80" w:after="140"/>
      </w:pPr>
      <w:r>
        <w:rPr>
          <w:rFonts w:ascii="Arial" w:cs="Arial" w:eastAsia="Arial" w:hAnsi="Arial"/>
          <w:color w:val="334155"/>
          <w:sz w:val="24"/>
          <w:szCs w:val="24"/>
        </w:rPr>
        <w:t xml:space="preserve">If a property appears as no-access two or more times within a short period, the response is not simply to rebook again. Before rebooking, the supervisor should ask:</w:t>
      </w:r>
    </w:p>
    <w:p>
      <w:pPr>
        <w:spacing w:before="0" w:after="80"/>
      </w:pPr>
      <w:r>
        <w:rPr>
          <w:rFonts w:ascii="Arial" w:cs="Arial" w:eastAsia="Arial" w:hAnsi="Arial"/>
          <w:color w:val="334155"/>
          <w:sz w:val="24"/>
          <w:szCs w:val="24"/>
        </w:rPr>
        <w:t xml:space="preserve"/>
      </w:r>
    </w:p>
    <w:p>
      <w:pPr>
        <w:pStyle w:val="ListParagraph"/>
        <w:numPr>
          <w:ilvl w:val="0"/>
          <w:numId w:val="3"/>
        </w:numPr>
        <w:spacing w:before="60" w:after="80"/>
      </w:pPr>
      <w:r>
        <w:rPr>
          <w:rFonts w:ascii="Arial" w:cs="Arial" w:eastAsia="Arial" w:hAnsi="Arial"/>
          <w:color w:val="334155"/>
          <w:sz w:val="24"/>
          <w:szCs w:val="24"/>
        </w:rPr>
        <w:t xml:space="preserve">Has the tenant been contacted between visits to confirm availability?</w:t>
      </w:r>
    </w:p>
    <w:p>
      <w:pPr>
        <w:pStyle w:val="ListParagraph"/>
        <w:numPr>
          <w:ilvl w:val="0"/>
          <w:numId w:val="3"/>
        </w:numPr>
        <w:spacing w:before="60" w:after="80"/>
      </w:pPr>
      <w:r>
        <w:rPr>
          <w:rFonts w:ascii="Arial" w:cs="Arial" w:eastAsia="Arial" w:hAnsi="Arial"/>
          <w:color w:val="334155"/>
          <w:sz w:val="24"/>
          <w:szCs w:val="24"/>
        </w:rPr>
        <w:t xml:space="preserve">Is there a vulnerability flag on this property that might explain access difficulties?</w:t>
      </w:r>
    </w:p>
    <w:p>
      <w:pPr>
        <w:pStyle w:val="ListParagraph"/>
        <w:numPr>
          <w:ilvl w:val="0"/>
          <w:numId w:val="3"/>
        </w:numPr>
        <w:spacing w:before="60" w:after="80"/>
      </w:pPr>
      <w:r>
        <w:rPr>
          <w:rFonts w:ascii="Arial" w:cs="Arial" w:eastAsia="Arial" w:hAnsi="Arial"/>
          <w:color w:val="334155"/>
          <w:sz w:val="24"/>
          <w:szCs w:val="24"/>
        </w:rPr>
        <w:t xml:space="preserve">Is there a history of access issues at this address?</w:t>
      </w:r>
    </w:p>
    <w:p>
      <w:pPr>
        <w:pStyle w:val="ListParagraph"/>
        <w:numPr>
          <w:ilvl w:val="0"/>
          <w:numId w:val="3"/>
        </w:numPr>
        <w:spacing w:before="60" w:after="80"/>
      </w:pPr>
      <w:r>
        <w:rPr>
          <w:rFonts w:ascii="Arial" w:cs="Arial" w:eastAsia="Arial" w:hAnsi="Arial"/>
          <w:color w:val="334155"/>
          <w:sz w:val="24"/>
          <w:szCs w:val="24"/>
        </w:rPr>
        <w:t xml:space="preserve">Has the operative been the attending operative on each occasion?</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If the same operative is recording no-access at the same address repeatedly, that is a different conversation from a pattern of different operatives all recording no-access at the same property. The first suggests an operative issue. The second suggests a tenant issue that needs a different intervention — possibly a joint visit with a housing officer or a pre-arranged access arrangement.</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4.3  High abortive rate — individual operative</w:t>
      </w:r>
    </w:p>
    <w:p>
      <w:pPr>
        <w:spacing w:before="80" w:after="140"/>
      </w:pPr>
      <w:r>
        <w:rPr>
          <w:rFonts w:ascii="Arial" w:cs="Arial" w:eastAsia="Arial" w:hAnsi="Arial"/>
          <w:color w:val="334155"/>
          <w:sz w:val="24"/>
          <w:szCs w:val="24"/>
        </w:rPr>
        <w:t xml:space="preserve">An operative whose abortive rate is consistently above the team average over three or more weeks requires a direct conversation. The structure of this conversation follows the same framework as any performance conversation — data first, genuine question, specific expectation, clear next step.</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specific data to present is the operative's abortive rate over the period, compared to the team average, alongside the specific job records that have been recorded as no-access. Go through two or three of them in the conversation. "On Tuesday the 14th you recorded no-access at this address at 09:47. The appointment was for between 8 and 12. Can you walk me through what happened?"</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991B1B" w:sz="16"/>
              <w:bottom w:val="none" w:color="FFFFFF" w:sz="0"/>
              <w:right w:val="none" w:color="FFFFFF" w:sz="0"/>
            </w:tcBorders>
            <w:shd w:fill="FEF2F2" w:val="clear"/>
            <w:tcMar>
              <w:top w:type="dxa" w:w="160"/>
              <w:left w:type="dxa" w:w="240"/>
              <w:bottom w:type="dxa" w:w="160"/>
              <w:right w:type="dxa" w:w="200"/>
            </w:tcMar>
          </w:tcPr>
          <w:p>
            <w:pPr>
              <w:spacing w:before="0" w:after="80"/>
            </w:pPr>
            <w:r>
              <w:rPr>
                <w:rFonts w:ascii="Arial" w:cs="Arial" w:eastAsia="Arial" w:hAnsi="Arial"/>
                <w:b/>
                <w:bCs/>
                <w:color w:val="991B1B"/>
                <w:sz w:val="26"/>
                <w:szCs w:val="26"/>
              </w:rPr>
              <w:t xml:space="preserve">The operative who is leaving early</w:t>
            </w:r>
          </w:p>
          <w:p>
            <w:pPr>
              <w:spacing w:before="0" w:after="0"/>
            </w:pPr>
            <w:r>
              <w:rPr>
                <w:rFonts w:ascii="Arial" w:cs="Arial" w:eastAsia="Arial" w:hAnsi="Arial"/>
                <w:color w:val="334155"/>
                <w:sz w:val="24"/>
                <w:szCs w:val="24"/>
              </w:rPr>
              <w:t xml:space="preserve">The most common behaviour behind a high no-access rate is an operative who is recording no-access without making a genuine attempt at access, or leaving after a shorter wait than the required period. This is not always easy to prove from the data alone. Time-of-recording versus appointment window is the most useful indicator. If an operative is consistently recording no-access within the first thirty minutes of an appointment window, that warrants investigation.</w:t>
            </w:r>
          </w:p>
        </w:tc>
      </w:tr>
    </w:tbl>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4.4  Refused access</w:t>
      </w:r>
    </w:p>
    <w:p>
      <w:pPr>
        <w:spacing w:before="80" w:after="140"/>
      </w:pPr>
      <w:r>
        <w:rPr>
          <w:rFonts w:ascii="Arial" w:cs="Arial" w:eastAsia="Arial" w:hAnsi="Arial"/>
          <w:color w:val="334155"/>
          <w:sz w:val="24"/>
          <w:szCs w:val="24"/>
        </w:rPr>
        <w:t xml:space="preserve">A tenant who refuses access is categorically different from a tenant who is not home. Do not rebook without investigating first. The questions to ask are:</w:t>
      </w:r>
    </w:p>
    <w:p>
      <w:pPr>
        <w:spacing w:before="0" w:after="80"/>
      </w:pPr>
      <w:r>
        <w:rPr>
          <w:rFonts w:ascii="Arial" w:cs="Arial" w:eastAsia="Arial" w:hAnsi="Arial"/>
          <w:color w:val="334155"/>
          <w:sz w:val="24"/>
          <w:szCs w:val="24"/>
        </w:rPr>
        <w:t xml:space="preserve"/>
      </w:r>
    </w:p>
    <w:p>
      <w:pPr>
        <w:pStyle w:val="ListParagraph"/>
        <w:numPr>
          <w:ilvl w:val="0"/>
          <w:numId w:val="3"/>
        </w:numPr>
        <w:spacing w:before="60" w:after="80"/>
      </w:pPr>
      <w:r>
        <w:rPr>
          <w:rFonts w:ascii="Arial" w:cs="Arial" w:eastAsia="Arial" w:hAnsi="Arial"/>
          <w:color w:val="334155"/>
          <w:sz w:val="24"/>
          <w:szCs w:val="24"/>
        </w:rPr>
        <w:t xml:space="preserve">Did the operative make contact with the tenant before leaving? What was said?</w:t>
      </w:r>
    </w:p>
    <w:p>
      <w:pPr>
        <w:pStyle w:val="ListParagraph"/>
        <w:numPr>
          <w:ilvl w:val="0"/>
          <w:numId w:val="3"/>
        </w:numPr>
        <w:spacing w:before="60" w:after="80"/>
      </w:pPr>
      <w:r>
        <w:rPr>
          <w:rFonts w:ascii="Arial" w:cs="Arial" w:eastAsia="Arial" w:hAnsi="Arial"/>
          <w:color w:val="334155"/>
          <w:sz w:val="24"/>
          <w:szCs w:val="24"/>
        </w:rPr>
        <w:t xml:space="preserve">Has this tenant refused access before? Is there a pattern?</w:t>
      </w:r>
    </w:p>
    <w:p>
      <w:pPr>
        <w:pStyle w:val="ListParagraph"/>
        <w:numPr>
          <w:ilvl w:val="0"/>
          <w:numId w:val="3"/>
        </w:numPr>
        <w:spacing w:before="60" w:after="80"/>
      </w:pPr>
      <w:r>
        <w:rPr>
          <w:rFonts w:ascii="Arial" w:cs="Arial" w:eastAsia="Arial" w:hAnsi="Arial"/>
          <w:color w:val="334155"/>
          <w:sz w:val="24"/>
          <w:szCs w:val="24"/>
        </w:rPr>
        <w:t xml:space="preserve">Is there any indication that the refusal is related to operative conduct or a previous bad experience?</w:t>
      </w:r>
    </w:p>
    <w:p>
      <w:pPr>
        <w:pStyle w:val="ListParagraph"/>
        <w:numPr>
          <w:ilvl w:val="0"/>
          <w:numId w:val="3"/>
        </w:numPr>
        <w:spacing w:before="60" w:after="80"/>
      </w:pPr>
      <w:r>
        <w:rPr>
          <w:rFonts w:ascii="Arial" w:cs="Arial" w:eastAsia="Arial" w:hAnsi="Arial"/>
          <w:color w:val="334155"/>
          <w:sz w:val="24"/>
          <w:szCs w:val="24"/>
        </w:rPr>
        <w:t xml:space="preserve">Are there any safeguarding indicators that might explain the refusal?</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A tenant who refuses access because of a concern about the operative should not have the same operative attend the return visit. A tenant who refuses access because of a safeguarding situation — domestic abuse, cuckooing, self-neglect — should be flagged to the housing team before any return visit is arranged.</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991B1B" w:sz="16"/>
              <w:bottom w:val="none" w:color="FFFFFF" w:sz="0"/>
              <w:right w:val="none" w:color="FFFFFF" w:sz="0"/>
            </w:tcBorders>
            <w:shd w:fill="FEF2F2" w:val="clear"/>
            <w:tcMar>
              <w:top w:type="dxa" w:w="160"/>
              <w:left w:type="dxa" w:w="240"/>
              <w:bottom w:type="dxa" w:w="160"/>
              <w:right w:type="dxa" w:w="200"/>
            </w:tcMar>
          </w:tcPr>
          <w:p>
            <w:pPr>
              <w:spacing w:before="0" w:after="80"/>
            </w:pPr>
            <w:r>
              <w:rPr>
                <w:rFonts w:ascii="Arial" w:cs="Arial" w:eastAsia="Arial" w:hAnsi="Arial"/>
                <w:b/>
                <w:bCs/>
                <w:color w:val="991B1B"/>
                <w:sz w:val="26"/>
                <w:szCs w:val="26"/>
              </w:rPr>
              <w:t xml:space="preserve">Refused access and safeguarding</w:t>
            </w:r>
          </w:p>
          <w:p>
            <w:pPr>
              <w:spacing w:before="0" w:after="0"/>
            </w:pPr>
            <w:r>
              <w:rPr>
                <w:rFonts w:ascii="Arial" w:cs="Arial" w:eastAsia="Arial" w:hAnsi="Arial"/>
                <w:color w:val="334155"/>
                <w:sz w:val="24"/>
                <w:szCs w:val="24"/>
              </w:rPr>
              <w:t xml:space="preserve">When a tenant refuses access to a maintenance operative, the operative is often the first person to have had any contact with that property in weeks. A refusal may be the tenant exercising their right. It may also be a sign that something is wrong. The supervisor should always ask the operative what they observed at the property — not just whether they gained access, but what the interaction was like, what they saw and heard. This is part of the operative's safeguarding obligation.</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5. Before the visit — reducing abortives at source</w:t>
      </w:r>
    </w:p>
    <w:p>
      <w:pPr>
        <w:spacing w:before="80" w:after="140"/>
      </w:pPr>
      <w:r>
        <w:rPr>
          <w:rFonts w:ascii="Arial" w:cs="Arial" w:eastAsia="Arial" w:hAnsi="Arial"/>
          <w:color w:val="334155"/>
          <w:sz w:val="24"/>
          <w:szCs w:val="24"/>
        </w:rPr>
        <w:t xml:space="preserve">The most cost-effective approach to abortive visits is preventing them. Most of the interventions that reduce abortive rates happen before the operative leaves the depot, not after they return with a no-access recorded.</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5.1  Appointment confirmation</w:t>
      </w:r>
    </w:p>
    <w:p>
      <w:pPr>
        <w:spacing w:before="80" w:after="140"/>
      </w:pPr>
      <w:r>
        <w:rPr>
          <w:rFonts w:ascii="Arial" w:cs="Arial" w:eastAsia="Arial" w:hAnsi="Arial"/>
          <w:color w:val="334155"/>
          <w:sz w:val="24"/>
          <w:szCs w:val="24"/>
        </w:rPr>
        <w:t xml:space="preserve">A confirmed appointment is significantly less likely to result in a no-access than an unconfirmed one. The planner's job includes confirming appointments, but the supervisor should know what the confirmation approach is and whether it is being followed consistently.</w:t>
      </w:r>
    </w:p>
    <w:p>
      <w:pPr>
        <w:spacing w:before="0" w:after="80"/>
      </w:pPr>
      <w:r>
        <w:rPr>
          <w:rFonts w:ascii="Arial" w:cs="Arial" w:eastAsia="Arial" w:hAnsi="Arial"/>
          <w:color w:val="334155"/>
          <w:sz w:val="24"/>
          <w:szCs w:val="24"/>
        </w:rPr>
        <w:t xml:space="preserve"/>
      </w:r>
    </w:p>
    <w:p>
      <w:pPr>
        <w:pStyle w:val="ListParagraph"/>
        <w:numPr>
          <w:ilvl w:val="0"/>
          <w:numId w:val="3"/>
        </w:numPr>
        <w:spacing w:before="60" w:after="80"/>
      </w:pPr>
      <w:r>
        <w:rPr>
          <w:rFonts w:ascii="Arial" w:cs="Arial" w:eastAsia="Arial" w:hAnsi="Arial"/>
          <w:color w:val="334155"/>
          <w:sz w:val="24"/>
          <w:szCs w:val="24"/>
        </w:rPr>
        <w:t xml:space="preserve">Text or phone confirmation the evening before for all morning appointments.</w:t>
      </w:r>
    </w:p>
    <w:p>
      <w:pPr>
        <w:pStyle w:val="ListParagraph"/>
        <w:numPr>
          <w:ilvl w:val="0"/>
          <w:numId w:val="3"/>
        </w:numPr>
        <w:spacing w:before="60" w:after="80"/>
      </w:pPr>
      <w:r>
        <w:rPr>
          <w:rFonts w:ascii="Arial" w:cs="Arial" w:eastAsia="Arial" w:hAnsi="Arial"/>
          <w:color w:val="334155"/>
          <w:sz w:val="24"/>
          <w:szCs w:val="24"/>
        </w:rPr>
        <w:t xml:space="preserve">Same-day confirmation for afternoon appointments where possible.</w:t>
      </w:r>
    </w:p>
    <w:p>
      <w:pPr>
        <w:pStyle w:val="ListParagraph"/>
        <w:numPr>
          <w:ilvl w:val="0"/>
          <w:numId w:val="3"/>
        </w:numPr>
        <w:spacing w:before="60" w:after="80"/>
      </w:pPr>
      <w:r>
        <w:rPr>
          <w:rFonts w:ascii="Arial" w:cs="Arial" w:eastAsia="Arial" w:hAnsi="Arial"/>
          <w:color w:val="334155"/>
          <w:sz w:val="24"/>
          <w:szCs w:val="24"/>
        </w:rPr>
        <w:t xml:space="preserve">Recording of confirmation attempt in the works management system.</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If your organisation does not have a consistent appointment confirmation process, this is worth raising with your planning and scheduling function. The reduction in no-access rates from a consistent pre-visit confirmation approach is consistently one of the fastest measurable improvements available.</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5.2  Vulnerability flags and access notes</w:t>
      </w:r>
    </w:p>
    <w:p>
      <w:pPr>
        <w:spacing w:before="80" w:after="140"/>
      </w:pPr>
      <w:r>
        <w:rPr>
          <w:rFonts w:ascii="Arial" w:cs="Arial" w:eastAsia="Arial" w:hAnsi="Arial"/>
          <w:color w:val="334155"/>
          <w:sz w:val="24"/>
          <w:szCs w:val="24"/>
        </w:rPr>
        <w:t xml:space="preserve">Many properties in a social housing maintenance portfolio have known access considerations — a tenant who works nights and needs a later appointment, a tenant with anxiety who needs a longer lead-in call, a property where the door entry system is unreliable. These should be recorded in the works management system and visible to the operative before they attend.</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supervisor's job is to make sure operatives are actually reading these notes before attending, not arriving cold at an address they could have been briefed on in thirty seconds.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5.3  The right operative for the right job</w:t>
      </w:r>
    </w:p>
    <w:p>
      <w:pPr>
        <w:spacing w:before="80" w:after="140"/>
      </w:pPr>
      <w:r>
        <w:rPr>
          <w:rFonts w:ascii="Arial" w:cs="Arial" w:eastAsia="Arial" w:hAnsi="Arial"/>
          <w:color w:val="334155"/>
          <w:sz w:val="24"/>
          <w:szCs w:val="24"/>
        </w:rPr>
        <w:t xml:space="preserve">Some no-access situations are not about access at all — they are about fit. An operative who has had a previous complaint raised by a tenant at a particular address should not be the first choice for a return visit to that address. An operative who is known to be abrasive in tenant interactions should not be attending a property with a vulnerable or anxious occupant without specific briefing.</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This requires the supervisor to know their team and to share relevant information with the planner. It is not about micromanaging the diary — it is about deploying the team intelligently.</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6. After the visit — managing the return</w:t>
      </w:r>
    </w:p>
    <w:p>
      <w:pPr>
        <w:spacing w:before="80" w:after="140"/>
      </w:pPr>
      <w:r>
        <w:rPr>
          <w:rFonts w:ascii="Arial" w:cs="Arial" w:eastAsia="Arial" w:hAnsi="Arial"/>
          <w:color w:val="334155"/>
          <w:sz w:val="24"/>
          <w:szCs w:val="24"/>
        </w:rPr>
        <w:t xml:space="preserve">When an abortive occurs, three things need to happen promptly. The planner manages the rebooking. The supervisor investigates the circumstances. And the data gets recorded accurately so that patterns can be tracked.</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6.1  The supervisor's post-abortive checklist</w:t>
      </w:r>
    </w:p>
    <w:p>
      <w:pPr>
        <w:pStyle w:val="ListParagraph"/>
        <w:numPr>
          <w:ilvl w:val="0"/>
          <w:numId w:val="2"/>
        </w:numPr>
        <w:spacing w:before="60" w:after="100"/>
      </w:pPr>
      <w:r>
        <w:rPr>
          <w:rFonts w:ascii="Arial" w:cs="Arial" w:eastAsia="Arial" w:hAnsi="Arial"/>
          <w:color w:val="334155"/>
          <w:sz w:val="24"/>
          <w:szCs w:val="24"/>
        </w:rPr>
        <w:t xml:space="preserve">Review the job record. Does it contain the information it should — arrival time, wait time, contact attempted, reason code?</w:t>
      </w:r>
    </w:p>
    <w:p>
      <w:pPr>
        <w:pStyle w:val="ListParagraph"/>
        <w:numPr>
          <w:ilvl w:val="0"/>
          <w:numId w:val="2"/>
        </w:numPr>
        <w:spacing w:before="60" w:after="100"/>
      </w:pPr>
      <w:r>
        <w:rPr>
          <w:rFonts w:ascii="Arial" w:cs="Arial" w:eastAsia="Arial" w:hAnsi="Arial"/>
          <w:color w:val="334155"/>
          <w:sz w:val="24"/>
          <w:szCs w:val="24"/>
        </w:rPr>
        <w:t xml:space="preserve">Speak briefly to the operative. "Tell me what happened at [address]." Not an interrogation — just a conversation that establishes the basic facts and signals that abortive visits are noted.</w:t>
      </w:r>
    </w:p>
    <w:p>
      <w:pPr>
        <w:pStyle w:val="ListParagraph"/>
        <w:numPr>
          <w:ilvl w:val="0"/>
          <w:numId w:val="2"/>
        </w:numPr>
        <w:spacing w:before="60" w:after="100"/>
      </w:pPr>
      <w:r>
        <w:rPr>
          <w:rFonts w:ascii="Arial" w:cs="Arial" w:eastAsia="Arial" w:hAnsi="Arial"/>
          <w:color w:val="334155"/>
          <w:sz w:val="24"/>
          <w:szCs w:val="24"/>
        </w:rPr>
        <w:t xml:space="preserve">Check whether a confirmation call was made before the visit. If not, establish why.</w:t>
      </w:r>
    </w:p>
    <w:p>
      <w:pPr>
        <w:pStyle w:val="ListParagraph"/>
        <w:numPr>
          <w:ilvl w:val="0"/>
          <w:numId w:val="2"/>
        </w:numPr>
        <w:spacing w:before="60" w:after="100"/>
      </w:pPr>
      <w:r>
        <w:rPr>
          <w:rFonts w:ascii="Arial" w:cs="Arial" w:eastAsia="Arial" w:hAnsi="Arial"/>
          <w:color w:val="334155"/>
          <w:sz w:val="24"/>
          <w:szCs w:val="24"/>
        </w:rPr>
        <w:t xml:space="preserve">Check whether this address or this operative has a pattern. Look back four weeks.</w:t>
      </w:r>
    </w:p>
    <w:p>
      <w:pPr>
        <w:pStyle w:val="ListParagraph"/>
        <w:numPr>
          <w:ilvl w:val="0"/>
          <w:numId w:val="2"/>
        </w:numPr>
        <w:spacing w:before="60" w:after="100"/>
      </w:pPr>
      <w:r>
        <w:rPr>
          <w:rFonts w:ascii="Arial" w:cs="Arial" w:eastAsia="Arial" w:hAnsi="Arial"/>
          <w:color w:val="334155"/>
          <w:sz w:val="24"/>
          <w:szCs w:val="24"/>
        </w:rPr>
        <w:t xml:space="preserve">If a vulnerability flag exists on the property, confirm it was visible to the operative and that appropriate action has been taken.</w:t>
      </w:r>
    </w:p>
    <w:p>
      <w:pPr>
        <w:pStyle w:val="ListParagraph"/>
        <w:numPr>
          <w:ilvl w:val="0"/>
          <w:numId w:val="2"/>
        </w:numPr>
        <w:spacing w:before="60" w:after="100"/>
      </w:pPr>
      <w:r>
        <w:rPr>
          <w:rFonts w:ascii="Arial" w:cs="Arial" w:eastAsia="Arial" w:hAnsi="Arial"/>
          <w:color w:val="334155"/>
          <w:sz w:val="24"/>
          <w:szCs w:val="24"/>
        </w:rPr>
        <w:t xml:space="preserve">If the abortive was due to missing materials, treat it as a van stock issue. See the Van Stock Management playbook.</w:t>
      </w:r>
    </w:p>
    <w:p>
      <w:pPr>
        <w:pStyle w:val="ListParagraph"/>
        <w:numPr>
          <w:ilvl w:val="0"/>
          <w:numId w:val="2"/>
        </w:numPr>
        <w:spacing w:before="60" w:after="100"/>
      </w:pPr>
      <w:r>
        <w:rPr>
          <w:rFonts w:ascii="Arial" w:cs="Arial" w:eastAsia="Arial" w:hAnsi="Arial"/>
          <w:color w:val="334155"/>
          <w:sz w:val="24"/>
          <w:szCs w:val="24"/>
        </w:rPr>
        <w:t xml:space="preserve">If the abortive was due to wrong trade, review how the job was diagnosed and raised. Is this a recurring diagnosis issue?</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6.2  Charging back abortive costs</w:t>
      </w:r>
    </w:p>
    <w:p>
      <w:pPr>
        <w:spacing w:before="80" w:after="140"/>
      </w:pPr>
      <w:r>
        <w:rPr>
          <w:rFonts w:ascii="Arial" w:cs="Arial" w:eastAsia="Arial" w:hAnsi="Arial"/>
          <w:color w:val="334155"/>
          <w:sz w:val="24"/>
          <w:szCs w:val="24"/>
        </w:rPr>
        <w:t xml:space="preserve">In many DLO environments, abortive visits have a cost code attached to them that sits separately from completed job costs. If your organisation operates this way, it is worth understanding how abortive costs are allocated and reported, because it affects how visible the problem is at management level.</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If abortive costs are absorbed into general overheads rather than tracked against the team or operative responsible, the financial signal that should be driving management attention disappears. This is worth raising with your line manager if the current reporting does not make abortive costs visible at team level.</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7. Gaming abortive visits — what it looks like and how to address it</w:t>
      </w:r>
    </w:p>
    <w:p>
      <w:pPr>
        <w:spacing w:before="80" w:after="140"/>
      </w:pPr>
      <w:r>
        <w:rPr>
          <w:rFonts w:ascii="Arial" w:cs="Arial" w:eastAsia="Arial" w:hAnsi="Arial"/>
          <w:color w:val="334155"/>
          <w:sz w:val="24"/>
          <w:szCs w:val="24"/>
        </w:rPr>
        <w:t xml:space="preserve">In any environment where abortive visits have no consequences and completed jobs generate pressure, there is a risk that some operatives will use no-access recording to manage their own workload. This is not theoretical — it happens in most DLOs to some degree. Recognising it is the supervisor's job.</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7.1  The indicators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400"/>
        <w:gridCol w:w="6238"/>
      </w:tblGrid>
      <w:tr>
        <w:trPr>
          <w:tblHeader/>
        </w:trPr>
        <w:tc>
          <w:tcPr>
            <w:tcW w:type="dxa" w:w="34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Indicator</w:t>
            </w:r>
          </w:p>
        </w:tc>
        <w:tc>
          <w:tcPr>
            <w:tcW w:type="dxa" w:w="62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it might mean</w:t>
            </w:r>
          </w:p>
        </w:tc>
      </w:tr>
      <w:tr>
        <w:tc>
          <w:tcPr>
            <w:tcW w:type="dxa" w:w="3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High no-access rate concentrated at end of day</w:t>
            </w:r>
          </w:p>
        </w:tc>
        <w:tc>
          <w:tcPr>
            <w:tcW w:type="dxa" w:w="62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Operative recording no-access on final job rather than attending. Check recording time versus appointment window end time.</w:t>
            </w:r>
          </w:p>
        </w:tc>
      </w:tr>
      <w:tr>
        <w:tc>
          <w:tcPr>
            <w:tcW w:type="dxa" w:w="3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High no-access rate on complex or time-consuming job types</w:t>
            </w:r>
          </w:p>
        </w:tc>
        <w:tc>
          <w:tcPr>
            <w:tcW w:type="dxa" w:w="62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Operative avoiding jobs they find difficult. Check whether no-access correlates with specific SOR codes.</w:t>
            </w:r>
          </w:p>
        </w:tc>
      </w:tr>
      <w:tr>
        <w:tc>
          <w:tcPr>
            <w:tcW w:type="dxa" w:w="3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No-access on jobs that other operatives complete successfully at the same address</w:t>
            </w:r>
          </w:p>
        </w:tc>
        <w:tc>
          <w:tcPr>
            <w:tcW w:type="dxa" w:w="62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Access is not the issue if other operatives have been getting in. Check attendance history at the address.</w:t>
            </w:r>
          </w:p>
        </w:tc>
      </w:tr>
      <w:tr>
        <w:tc>
          <w:tcPr>
            <w:tcW w:type="dxa" w:w="3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No-access recorded before the appointment window opens</w:t>
            </w:r>
          </w:p>
        </w:tc>
        <w:tc>
          <w:tcPr>
            <w:tcW w:type="dxa" w:w="62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Operative attending too early and recording no-access when the tenant is not yet available. Check recording time versus appointment window.</w:t>
            </w:r>
          </w:p>
        </w:tc>
      </w:tr>
      <w:tr>
        <w:tc>
          <w:tcPr>
            <w:tcW w:type="dxa" w:w="3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Operative self-directing to certain addresses and avoiding others</w:t>
            </w:r>
          </w:p>
        </w:tc>
        <w:tc>
          <w:tcPr>
            <w:tcW w:type="dxa" w:w="62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May indicate selective access behaviour — choosing easy access properties and avoiding known difficult ones.</w:t>
            </w:r>
          </w:p>
        </w:tc>
      </w:tr>
    </w:tbl>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7.2  How to address it</w:t>
      </w:r>
    </w:p>
    <w:p>
      <w:pPr>
        <w:spacing w:before="80" w:after="140"/>
      </w:pPr>
      <w:r>
        <w:rPr>
          <w:rFonts w:ascii="Arial" w:cs="Arial" w:eastAsia="Arial" w:hAnsi="Arial"/>
          <w:color w:val="334155"/>
          <w:sz w:val="24"/>
          <w:szCs w:val="24"/>
        </w:rPr>
        <w:t xml:space="preserve">If the data suggests an operative is gaming abortive recording, the conversation follows the same structure as any performance conversation — data first, specific examples, direct question, clear expectation.</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"I've been looking at your no-access data over the last four weeks. I can see that eight of your twelve no-accesses were recorded within the last hour of the working day. I want to understand what's been happening on those visits." That is a data-based question that the operative has to answer. If the explanation does not stack up against the job records, say so directly.</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Do not accuse — but do not back away from the data</w:t>
            </w:r>
          </w:p>
          <w:p>
            <w:pPr>
              <w:spacing w:before="0" w:after="0"/>
            </w:pPr>
            <w:r>
              <w:rPr>
                <w:rFonts w:ascii="Arial" w:cs="Arial" w:eastAsia="Arial" w:hAnsi="Arial"/>
                <w:color w:val="334155"/>
                <w:sz w:val="24"/>
                <w:szCs w:val="24"/>
              </w:rPr>
              <w:t xml:space="preserve">The supervisor's job is not to prove deliberate misconduct. It is to present a data pattern, give the operative the opportunity to explain it, and make clear that the pattern is being monitored. In most cases, the knowledge that the supervisor has noticed and is watching is sufficient to change behaviour. In cases where it is not, the documented pattern becomes the foundation for a more formal process.</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8. Quick reference summary</w:t>
      </w:r>
    </w:p>
    <w:p>
      <w:pPr>
        <w:spacing w:before="80" w:after="140"/>
      </w:pPr>
      <w:r>
        <w:rPr>
          <w:rFonts w:ascii="Arial" w:cs="Arial" w:eastAsia="Arial" w:hAnsi="Arial"/>
          <w:color w:val="334155"/>
          <w:sz w:val="24"/>
          <w:szCs w:val="24"/>
        </w:rPr>
        <w:t xml:space="preserve">This page is designed to be printed and kept.</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The five types — and the right response</w:t>
      </w:r>
    </w:p>
    <w:p>
      <w:pPr>
        <w:pStyle w:val="ListParagraph"/>
        <w:numPr>
          <w:ilvl w:val="0"/>
          <w:numId w:val="3"/>
        </w:numPr>
        <w:spacing w:before="60" w:after="80"/>
      </w:pPr>
      <w:r>
        <w:rPr>
          <w:rFonts w:ascii="Arial" w:cs="Arial" w:eastAsia="Arial" w:hAnsi="Arial"/>
          <w:color w:val="334155"/>
          <w:sz w:val="24"/>
          <w:szCs w:val="24"/>
        </w:rPr>
        <w:t xml:space="preserve">Genuine no access — single: ensure correctly recorded and promptly rebooked.</w:t>
      </w:r>
    </w:p>
    <w:p>
      <w:pPr>
        <w:pStyle w:val="ListParagraph"/>
        <w:numPr>
          <w:ilvl w:val="0"/>
          <w:numId w:val="3"/>
        </w:numPr>
        <w:spacing w:before="60" w:after="80"/>
      </w:pPr>
      <w:r>
        <w:rPr>
          <w:rFonts w:ascii="Arial" w:cs="Arial" w:eastAsia="Arial" w:hAnsi="Arial"/>
          <w:color w:val="334155"/>
          <w:sz w:val="24"/>
          <w:szCs w:val="24"/>
        </w:rPr>
        <w:t xml:space="preserve">Repeat no access — same address: check tenant contact, vulnerability flags, access history.</w:t>
      </w:r>
    </w:p>
    <w:p>
      <w:pPr>
        <w:pStyle w:val="ListParagraph"/>
        <w:numPr>
          <w:ilvl w:val="0"/>
          <w:numId w:val="3"/>
        </w:numPr>
        <w:spacing w:before="60" w:after="80"/>
      </w:pPr>
      <w:r>
        <w:rPr>
          <w:rFonts w:ascii="Arial" w:cs="Arial" w:eastAsia="Arial" w:hAnsi="Arial"/>
          <w:color w:val="334155"/>
          <w:sz w:val="24"/>
          <w:szCs w:val="24"/>
        </w:rPr>
        <w:t xml:space="preserve">High abortive rate — operative: data-based performance conversation. See framework.</w:t>
      </w:r>
    </w:p>
    <w:p>
      <w:pPr>
        <w:pStyle w:val="ListParagraph"/>
        <w:numPr>
          <w:ilvl w:val="0"/>
          <w:numId w:val="3"/>
        </w:numPr>
        <w:spacing w:before="60" w:after="80"/>
      </w:pPr>
      <w:r>
        <w:rPr>
          <w:rFonts w:ascii="Arial" w:cs="Arial" w:eastAsia="Arial" w:hAnsi="Arial"/>
          <w:color w:val="334155"/>
          <w:sz w:val="24"/>
          <w:szCs w:val="24"/>
        </w:rPr>
        <w:t xml:space="preserve">Missing materials: van stock conversation. See Van Stock Management playbook.</w:t>
      </w:r>
    </w:p>
    <w:p>
      <w:pPr>
        <w:pStyle w:val="ListParagraph"/>
        <w:numPr>
          <w:ilvl w:val="0"/>
          <w:numId w:val="3"/>
        </w:numPr>
        <w:spacing w:before="60" w:after="80"/>
      </w:pPr>
      <w:r>
        <w:rPr>
          <w:rFonts w:ascii="Arial" w:cs="Arial" w:eastAsia="Arial" w:hAnsi="Arial"/>
          <w:color w:val="334155"/>
          <w:sz w:val="24"/>
          <w:szCs w:val="24"/>
        </w:rPr>
        <w:t xml:space="preserve">Refused access: investigate before rebooking. Check operative conduct and safeguarding indicators.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Data questions before any abortive conversation</w:t>
      </w:r>
    </w:p>
    <w:p>
      <w:pPr>
        <w:pStyle w:val="ListParagraph"/>
        <w:numPr>
          <w:ilvl w:val="0"/>
          <w:numId w:val="2"/>
        </w:numPr>
        <w:spacing w:before="60" w:after="100"/>
      </w:pPr>
      <w:r>
        <w:rPr>
          <w:rFonts w:ascii="Arial" w:cs="Arial" w:eastAsia="Arial" w:hAnsi="Arial"/>
          <w:color w:val="334155"/>
          <w:sz w:val="24"/>
          <w:szCs w:val="24"/>
        </w:rPr>
        <w:t xml:space="preserve">Who has the highest abortive rate this period — is it consistent over time?</w:t>
      </w:r>
    </w:p>
    <w:p>
      <w:pPr>
        <w:pStyle w:val="ListParagraph"/>
        <w:numPr>
          <w:ilvl w:val="0"/>
          <w:numId w:val="2"/>
        </w:numPr>
        <w:spacing w:before="60" w:after="100"/>
      </w:pPr>
      <w:r>
        <w:rPr>
          <w:rFonts w:ascii="Arial" w:cs="Arial" w:eastAsia="Arial" w:hAnsi="Arial"/>
          <w:color w:val="334155"/>
          <w:sz w:val="24"/>
          <w:szCs w:val="24"/>
        </w:rPr>
        <w:t xml:space="preserve">Are abortives clustered at specific addresses or spread across the team?</w:t>
      </w:r>
    </w:p>
    <w:p>
      <w:pPr>
        <w:pStyle w:val="ListParagraph"/>
        <w:numPr>
          <w:ilvl w:val="0"/>
          <w:numId w:val="2"/>
        </w:numPr>
        <w:spacing w:before="60" w:after="100"/>
      </w:pPr>
      <w:r>
        <w:rPr>
          <w:rFonts w:ascii="Arial" w:cs="Arial" w:eastAsia="Arial" w:hAnsi="Arial"/>
          <w:color w:val="334155"/>
          <w:sz w:val="24"/>
          <w:szCs w:val="24"/>
        </w:rPr>
        <w:t xml:space="preserve">What reason codes are being used — are they accurate?</w:t>
      </w:r>
    </w:p>
    <w:p>
      <w:pPr>
        <w:pStyle w:val="ListParagraph"/>
        <w:numPr>
          <w:ilvl w:val="0"/>
          <w:numId w:val="2"/>
        </w:numPr>
        <w:spacing w:before="60" w:after="100"/>
      </w:pPr>
      <w:r>
        <w:rPr>
          <w:rFonts w:ascii="Arial" w:cs="Arial" w:eastAsia="Arial" w:hAnsi="Arial"/>
          <w:color w:val="334155"/>
          <w:sz w:val="24"/>
          <w:szCs w:val="24"/>
        </w:rPr>
        <w:t xml:space="preserve">Is there a time-of-day pattern — end of day, first job, within appointment window?</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Post-abortive checklist</w:t>
      </w:r>
    </w:p>
    <w:p>
      <w:pPr>
        <w:pStyle w:val="ListParagraph"/>
        <w:numPr>
          <w:ilvl w:val="0"/>
          <w:numId w:val="3"/>
        </w:numPr>
        <w:spacing w:before="60" w:after="80"/>
      </w:pPr>
      <w:r>
        <w:rPr>
          <w:rFonts w:ascii="Arial" w:cs="Arial" w:eastAsia="Arial" w:hAnsi="Arial"/>
          <w:color w:val="334155"/>
          <w:sz w:val="24"/>
          <w:szCs w:val="24"/>
        </w:rPr>
        <w:t xml:space="preserve">Job record complete — arrival time, wait time, contact attempted, reason code</w:t>
      </w:r>
    </w:p>
    <w:p>
      <w:pPr>
        <w:pStyle w:val="ListParagraph"/>
        <w:numPr>
          <w:ilvl w:val="0"/>
          <w:numId w:val="3"/>
        </w:numPr>
        <w:spacing w:before="60" w:after="80"/>
      </w:pPr>
      <w:r>
        <w:rPr>
          <w:rFonts w:ascii="Arial" w:cs="Arial" w:eastAsia="Arial" w:hAnsi="Arial"/>
          <w:color w:val="334155"/>
          <w:sz w:val="24"/>
          <w:szCs w:val="24"/>
        </w:rPr>
        <w:t xml:space="preserve">Brief conversation with operative — what happened?</w:t>
      </w:r>
    </w:p>
    <w:p>
      <w:pPr>
        <w:pStyle w:val="ListParagraph"/>
        <w:numPr>
          <w:ilvl w:val="0"/>
          <w:numId w:val="3"/>
        </w:numPr>
        <w:spacing w:before="60" w:after="80"/>
      </w:pPr>
      <w:r>
        <w:rPr>
          <w:rFonts w:ascii="Arial" w:cs="Arial" w:eastAsia="Arial" w:hAnsi="Arial"/>
          <w:color w:val="334155"/>
          <w:sz w:val="24"/>
          <w:szCs w:val="24"/>
        </w:rPr>
        <w:t xml:space="preserve">Confirmation call made before visit?</w:t>
      </w:r>
    </w:p>
    <w:p>
      <w:pPr>
        <w:pStyle w:val="ListParagraph"/>
        <w:numPr>
          <w:ilvl w:val="0"/>
          <w:numId w:val="3"/>
        </w:numPr>
        <w:spacing w:before="60" w:after="80"/>
      </w:pPr>
      <w:r>
        <w:rPr>
          <w:rFonts w:ascii="Arial" w:cs="Arial" w:eastAsia="Arial" w:hAnsi="Arial"/>
          <w:color w:val="334155"/>
          <w:sz w:val="24"/>
          <w:szCs w:val="24"/>
        </w:rPr>
        <w:t xml:space="preserve">Address or operative pattern check — last four weeks</w:t>
      </w:r>
    </w:p>
    <w:p>
      <w:pPr>
        <w:pStyle w:val="ListParagraph"/>
        <w:numPr>
          <w:ilvl w:val="0"/>
          <w:numId w:val="3"/>
        </w:numPr>
        <w:spacing w:before="60" w:after="80"/>
      </w:pPr>
      <w:r>
        <w:rPr>
          <w:rFonts w:ascii="Arial" w:cs="Arial" w:eastAsia="Arial" w:hAnsi="Arial"/>
          <w:color w:val="334155"/>
          <w:sz w:val="24"/>
          <w:szCs w:val="24"/>
        </w:rPr>
        <w:t xml:space="preserve">Vulnerability flag actioned if present</w:t>
      </w:r>
    </w:p>
    <w:p>
      <w:pPr>
        <w:pStyle w:val="ListParagraph"/>
        <w:numPr>
          <w:ilvl w:val="0"/>
          <w:numId w:val="3"/>
        </w:numPr>
        <w:spacing w:before="60" w:after="80"/>
      </w:pPr>
      <w:r>
        <w:rPr>
          <w:rFonts w:ascii="Arial" w:cs="Arial" w:eastAsia="Arial" w:hAnsi="Arial"/>
          <w:color w:val="334155"/>
          <w:sz w:val="24"/>
          <w:szCs w:val="24"/>
        </w:rPr>
        <w:t xml:space="preserve">Materials issue — van stock conversation</w:t>
      </w:r>
    </w:p>
    <w:p>
      <w:pPr>
        <w:pStyle w:val="ListParagraph"/>
        <w:numPr>
          <w:ilvl w:val="0"/>
          <w:numId w:val="3"/>
        </w:numPr>
        <w:spacing w:before="60" w:after="80"/>
      </w:pPr>
      <w:r>
        <w:rPr>
          <w:rFonts w:ascii="Arial" w:cs="Arial" w:eastAsia="Arial" w:hAnsi="Arial"/>
          <w:color w:val="334155"/>
          <w:sz w:val="24"/>
          <w:szCs w:val="24"/>
        </w:rPr>
        <w:t xml:space="preserve">Wrong trade — diagnosis and raising process review</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Gaming indicators — trigger a conversation if you see these</w:t>
      </w:r>
    </w:p>
    <w:p>
      <w:pPr>
        <w:pStyle w:val="ListParagraph"/>
        <w:numPr>
          <w:ilvl w:val="0"/>
          <w:numId w:val="3"/>
        </w:numPr>
        <w:spacing w:before="60" w:after="80"/>
      </w:pPr>
      <w:r>
        <w:rPr>
          <w:rFonts w:ascii="Arial" w:cs="Arial" w:eastAsia="Arial" w:hAnsi="Arial"/>
          <w:color w:val="334155"/>
          <w:sz w:val="24"/>
          <w:szCs w:val="24"/>
        </w:rPr>
        <w:t xml:space="preserve">High no-access concentrated at end of day</w:t>
      </w:r>
    </w:p>
    <w:p>
      <w:pPr>
        <w:pStyle w:val="ListParagraph"/>
        <w:numPr>
          <w:ilvl w:val="0"/>
          <w:numId w:val="3"/>
        </w:numPr>
        <w:spacing w:before="60" w:after="80"/>
      </w:pPr>
      <w:r>
        <w:rPr>
          <w:rFonts w:ascii="Arial" w:cs="Arial" w:eastAsia="Arial" w:hAnsi="Arial"/>
          <w:color w:val="334155"/>
          <w:sz w:val="24"/>
          <w:szCs w:val="24"/>
        </w:rPr>
        <w:t xml:space="preserve">No-access on job types the operative finds challenging</w:t>
      </w:r>
    </w:p>
    <w:p>
      <w:pPr>
        <w:pStyle w:val="ListParagraph"/>
        <w:numPr>
          <w:ilvl w:val="0"/>
          <w:numId w:val="3"/>
        </w:numPr>
        <w:spacing w:before="60" w:after="80"/>
      </w:pPr>
      <w:r>
        <w:rPr>
          <w:rFonts w:ascii="Arial" w:cs="Arial" w:eastAsia="Arial" w:hAnsi="Arial"/>
          <w:color w:val="334155"/>
          <w:sz w:val="24"/>
          <w:szCs w:val="24"/>
        </w:rPr>
        <w:t xml:space="preserve">No-access at addresses where other operatives gain entry successfully</w:t>
      </w:r>
    </w:p>
    <w:p>
      <w:pPr>
        <w:pStyle w:val="ListParagraph"/>
        <w:numPr>
          <w:ilvl w:val="0"/>
          <w:numId w:val="3"/>
        </w:numPr>
        <w:spacing w:before="60" w:after="80"/>
      </w:pPr>
      <w:r>
        <w:rPr>
          <w:rFonts w:ascii="Arial" w:cs="Arial" w:eastAsia="Arial" w:hAnsi="Arial"/>
          <w:color w:val="334155"/>
          <w:sz w:val="24"/>
          <w:szCs w:val="24"/>
        </w:rPr>
        <w:t xml:space="preserve">Recording time before the appointment window opens</w:t>
      </w:r>
    </w:p>
    <w:p>
      <w:pPr>
        <w:spacing w:before="0" w:after="16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The supervisor's goal</w:t>
            </w:r>
          </w:p>
          <w:p>
            <w:pPr>
              <w:spacing w:before="0" w:after="0"/>
            </w:pPr>
            <w:r>
              <w:rPr>
                <w:rFonts w:ascii="Arial" w:cs="Arial" w:eastAsia="Arial" w:hAnsi="Arial"/>
                <w:color w:val="334155"/>
                <w:sz w:val="24"/>
                <w:szCs w:val="24"/>
              </w:rPr>
              <w:t xml:space="preserve">Zero avoidable abortive visits. Not zero abortives — some will always happen. But every abortive that was caused by an operative leaving early, not attempting access properly, carrying the wrong materials, or gaming the system is an avoidable cost. The supervisor who systematically investigates patterns and acts on what they find will reduce their team's abortive rate faster than any system change or process redesign.</w:t>
            </w:r>
          </w:p>
        </w:tc>
      </w:tr>
    </w:tbl>
    <w:p>
      <w:pPr>
        <w:spacing w:before="0" w:after="200"/>
      </w:pPr>
      <w:r>
        <w:rPr>
          <w:rFonts w:ascii="Arial" w:cs="Arial" w:eastAsia="Arial" w:hAnsi="Arial"/>
          <w:color w:val="334155"/>
          <w:sz w:val="24"/>
          <w:szCs w:val="24"/>
        </w:rPr>
        <w:t xml:space="preserve"/>
      </w:r>
    </w:p>
    <w:p>
      <w:pPr>
        <w:pBdr>
          <w:top w:val="single" w:color="E2E8F0" w:sz="2" w:space="10"/>
        </w:pBdr>
        <w:spacing w:before="240" w:after="0"/>
      </w:pPr>
      <w:r>
        <w:rPr>
          <w:rFonts w:ascii="Arial" w:cs="Arial" w:eastAsia="Arial" w:hAnsi="Arial"/>
          <w:color w:val="94A3B8"/>
          <w:sz w:val="18"/>
          <w:szCs w:val="18"/>
        </w:rPr>
        <w:t xml:space="preserve">socialhousing.ai  ·  Supervisor Playbook Series  ·  The Abortive Visit Playbook  ·  March 2026  ·  Free to use and share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0A0F1E"/>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0E7490"/>
      <w:sz w:val="28"/>
      <w:szCs w:val="28"/>
    </w:rPr>
  </w:style>
  <w:style w:type="paragraph" w:styleId="Heading3">
    <w:name w:val="Heading 3"/>
    <w:basedOn w:val="Normal"/>
    <w:next w:val="Normal"/>
    <w:qFormat/>
    <w:pPr>
      <w:spacing w:before="200" w:after="80"/>
      <w:outlineLvl w:val="2"/>
    </w:pPr>
    <w:rPr>
      <w:rFonts w:ascii="Arial" w:cs="Arial" w:eastAsia="Arial" w:hAnsi="Arial"/>
      <w:b/>
      <w:bCs/>
      <w:color w:val="3341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2026-03-20T12:06:01.475Z</dcterms:created>
  <dcterms:modified xsi:type="dcterms:W3CDTF">2026-03-20T12:06:01.476Z</dcterms:modified>
</cp:coreProperties>
</file>

<file path=docProps/custom.xml><?xml version="1.0" encoding="utf-8"?>
<Properties xmlns="http://schemas.openxmlformats.org/officeDocument/2006/custom-properties" xmlns:vt="http://schemas.openxmlformats.org/officeDocument/2006/docPropsVTypes"/>
</file>